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0C3" w:rsidRDefault="001D20C3" w:rsidP="0045579E">
      <w:pPr>
        <w:rPr>
          <w:u w:val="single"/>
        </w:rPr>
      </w:pPr>
      <w:r w:rsidRPr="001F118A">
        <w:rPr>
          <w:b/>
          <w:u w:val="single"/>
        </w:rPr>
        <w:t xml:space="preserve">Development of a Manitoba </w:t>
      </w:r>
      <w:r>
        <w:rPr>
          <w:b/>
          <w:u w:val="single"/>
        </w:rPr>
        <w:t>Soils Test for C</w:t>
      </w:r>
      <w:r w:rsidRPr="001F118A">
        <w:rPr>
          <w:b/>
          <w:u w:val="single"/>
        </w:rPr>
        <w:t>admium</w:t>
      </w:r>
      <w:r w:rsidRPr="001D6AF2">
        <w:rPr>
          <w:u w:val="single"/>
        </w:rPr>
        <w:t xml:space="preserve"> </w:t>
      </w:r>
    </w:p>
    <w:p w:rsidR="001D20C3" w:rsidRPr="001D6AF2" w:rsidRDefault="001D20C3" w:rsidP="001D20C3">
      <w:pPr>
        <w:rPr>
          <w:u w:val="single"/>
        </w:rPr>
      </w:pPr>
      <w:r w:rsidRPr="001F118A">
        <w:rPr>
          <w:b/>
        </w:rPr>
        <w:t>Manitoba Pulse Growers Association</w:t>
      </w:r>
    </w:p>
    <w:p w:rsidR="001D20C3" w:rsidRDefault="001D6AF2" w:rsidP="0045579E">
      <w:pPr>
        <w:rPr>
          <w:b/>
        </w:rPr>
      </w:pPr>
      <w:r w:rsidRPr="001D6AF2">
        <w:rPr>
          <w:u w:val="single"/>
        </w:rPr>
        <w:t>Interim Report</w:t>
      </w:r>
      <w:r w:rsidR="001F118A">
        <w:rPr>
          <w:u w:val="single"/>
        </w:rPr>
        <w:t xml:space="preserve">: </w:t>
      </w:r>
      <w:r w:rsidR="001F118A" w:rsidRPr="001F118A">
        <w:rPr>
          <w:b/>
        </w:rPr>
        <w:t xml:space="preserve"> </w:t>
      </w:r>
    </w:p>
    <w:p w:rsidR="001D6AF2" w:rsidRPr="001F118A" w:rsidRDefault="001D6AF2" w:rsidP="001F118A">
      <w:pPr>
        <w:jc w:val="center"/>
        <w:rPr>
          <w:b/>
          <w:u w:val="single"/>
        </w:rPr>
      </w:pPr>
    </w:p>
    <w:p w:rsidR="001D6AF2" w:rsidRDefault="001D6AF2" w:rsidP="0045579E">
      <w:r>
        <w:t>The following information should be treated as confidential between AAFC and MPGA until verification and final report.</w:t>
      </w:r>
    </w:p>
    <w:p w:rsidR="001D6AF2" w:rsidRDefault="001D6AF2" w:rsidP="0045579E">
      <w:r>
        <w:t>December 20, 2012</w:t>
      </w:r>
    </w:p>
    <w:p w:rsidR="0045579E" w:rsidRPr="00053775" w:rsidRDefault="0045579E" w:rsidP="0045579E">
      <w:pPr>
        <w:outlineLvl w:val="0"/>
        <w:rPr>
          <w:b/>
        </w:rPr>
      </w:pPr>
      <w:r w:rsidRPr="00053775">
        <w:rPr>
          <w:b/>
        </w:rPr>
        <w:t xml:space="preserve">Principal and Collaborating Researchers </w:t>
      </w:r>
    </w:p>
    <w:p w:rsidR="0045579E" w:rsidRDefault="0045579E" w:rsidP="00455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40"/>
      </w:pPr>
      <w:r w:rsidRPr="00053775">
        <w:t xml:space="preserve">Dr. Malcolm Morrison, </w:t>
      </w:r>
      <w:smartTag w:uri="urn:schemas-microsoft-com:office:smarttags" w:element="stockticker">
        <w:r w:rsidRPr="00053775">
          <w:t>AAFC</w:t>
        </w:r>
      </w:smartTag>
      <w:r w:rsidRPr="00053775">
        <w:t xml:space="preserve"> </w:t>
      </w:r>
      <w:r>
        <w:t>–</w:t>
      </w:r>
      <w:r w:rsidRPr="00053775">
        <w:t xml:space="preserve"> </w:t>
      </w:r>
      <w:smartTag w:uri="urn:schemas-microsoft-com:office:smarttags" w:element="City">
        <w:smartTag w:uri="urn:schemas-microsoft-com:office:smarttags" w:element="place">
          <w:r w:rsidRPr="00053775">
            <w:t>Ottawa</w:t>
          </w:r>
        </w:smartTag>
      </w:smartTag>
      <w:r>
        <w:t>,</w:t>
      </w:r>
      <w:r w:rsidRPr="00053775">
        <w:t xml:space="preserve"> </w:t>
      </w:r>
      <w:smartTag w:uri="urn:schemas-microsoft-com:office:smarttags" w:element="address">
        <w:smartTag w:uri="urn:schemas-microsoft-com:office:smarttags" w:element="Street">
          <w:r w:rsidRPr="00053775">
            <w:t>960 Carling Ave</w:t>
          </w:r>
        </w:smartTag>
        <w:r w:rsidRPr="00053775">
          <w:t xml:space="preserve">, </w:t>
        </w:r>
        <w:smartTag w:uri="urn:schemas-microsoft-com:office:smarttags" w:element="City">
          <w:r w:rsidRPr="00053775">
            <w:t>Ottawa</w:t>
          </w:r>
        </w:smartTag>
        <w:r w:rsidRPr="00053775">
          <w:t xml:space="preserve">, </w:t>
        </w:r>
        <w:smartTag w:uri="urn:schemas-microsoft-com:office:smarttags" w:element="State">
          <w:r w:rsidRPr="00053775">
            <w:t>Ontario</w:t>
          </w:r>
        </w:smartTag>
      </w:smartTag>
      <w:r w:rsidRPr="00053775">
        <w:t xml:space="preserve">, </w:t>
      </w:r>
    </w:p>
    <w:p w:rsidR="0045579E" w:rsidRDefault="0045579E" w:rsidP="00455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40"/>
      </w:pPr>
      <w:proofErr w:type="gramStart"/>
      <w:r w:rsidRPr="00053775">
        <w:t>K1A 0C6.</w:t>
      </w:r>
      <w:proofErr w:type="gramEnd"/>
      <w:r w:rsidRPr="00053775">
        <w:t xml:space="preserve"> </w:t>
      </w:r>
      <w:r>
        <w:t>1-</w:t>
      </w:r>
      <w:r w:rsidRPr="00053775">
        <w:t>613</w:t>
      </w:r>
      <w:r>
        <w:t>-</w:t>
      </w:r>
      <w:r w:rsidRPr="00053775">
        <w:t>759</w:t>
      </w:r>
      <w:r>
        <w:t>-</w:t>
      </w:r>
      <w:r w:rsidRPr="00053775">
        <w:t>1556</w:t>
      </w:r>
      <w:r w:rsidRPr="00053775">
        <w:tab/>
      </w:r>
      <w:hyperlink r:id="rId6" w:history="1">
        <w:r w:rsidRPr="006357EB">
          <w:rPr>
            <w:rStyle w:val="Hyperlink"/>
          </w:rPr>
          <w:t>Malcolm.morrison@agr.gc.ca</w:t>
        </w:r>
      </w:hyperlink>
      <w:r>
        <w:t xml:space="preserve"> </w:t>
      </w:r>
    </w:p>
    <w:p w:rsidR="0045579E" w:rsidRPr="00053775" w:rsidRDefault="0045579E" w:rsidP="00455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40"/>
      </w:pPr>
    </w:p>
    <w:p w:rsidR="0045579E" w:rsidRDefault="0045579E" w:rsidP="00455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40"/>
      </w:pPr>
      <w:proofErr w:type="gramStart"/>
      <w:smartTag w:uri="urn:schemas-microsoft-com:office:smarttags" w:element="PersonName">
        <w:r w:rsidRPr="00053775">
          <w:t xml:space="preserve">Eugene </w:t>
        </w:r>
        <w:proofErr w:type="spellStart"/>
        <w:r w:rsidRPr="00053775">
          <w:t>Gawalko</w:t>
        </w:r>
      </w:smartTag>
      <w:proofErr w:type="spellEnd"/>
      <w:r w:rsidRPr="00053775">
        <w:t xml:space="preserve">, </w:t>
      </w:r>
      <w:proofErr w:type="spellStart"/>
      <w:r w:rsidR="001D20C3">
        <w:t>Anja</w:t>
      </w:r>
      <w:proofErr w:type="spellEnd"/>
      <w:r w:rsidR="001D20C3">
        <w:t xml:space="preserve"> Richter, </w:t>
      </w:r>
      <w:r w:rsidRPr="00053775">
        <w:t>Grains Research Lab, Canadian Grain Commission, 1404-606 Main St., Winnipeg, Manitoba, R3C 3G8.</w:t>
      </w:r>
      <w:proofErr w:type="gramEnd"/>
      <w:r w:rsidRPr="00053775">
        <w:t xml:space="preserve"> </w:t>
      </w:r>
      <w:r w:rsidRPr="00053775">
        <w:tab/>
      </w:r>
      <w:hyperlink r:id="rId7" w:history="1">
        <w:r w:rsidRPr="00053775">
          <w:rPr>
            <w:rStyle w:val="Hyperlink"/>
          </w:rPr>
          <w:t>egawalko@grainscanada.gc.ca</w:t>
        </w:r>
      </w:hyperlink>
      <w:r w:rsidR="001D20C3">
        <w:t xml:space="preserve"> </w:t>
      </w:r>
      <w:hyperlink r:id="rId8" w:history="1">
        <w:r w:rsidR="001D20C3" w:rsidRPr="00362ACC">
          <w:rPr>
            <w:rStyle w:val="Hyperlink"/>
          </w:rPr>
          <w:t>arichter@grainscanada.gc.ca</w:t>
        </w:r>
      </w:hyperlink>
    </w:p>
    <w:p w:rsidR="001D20C3" w:rsidRDefault="001D20C3" w:rsidP="00455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40"/>
      </w:pPr>
    </w:p>
    <w:p w:rsidR="0045579E" w:rsidRDefault="0045579E" w:rsidP="00455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40"/>
      </w:pPr>
    </w:p>
    <w:p w:rsidR="0045579E" w:rsidRDefault="0045579E" w:rsidP="00455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40"/>
      </w:pPr>
      <w:r>
        <w:t xml:space="preserve">Dr. Cindy Grant, </w:t>
      </w:r>
      <w:smartTag w:uri="urn:schemas-microsoft-com:office:smarttags" w:element="stockticker">
        <w:r>
          <w:t>AAFC</w:t>
        </w:r>
      </w:smartTag>
      <w:r>
        <w:t xml:space="preserve"> – Brandon Research Centre, </w:t>
      </w:r>
      <w:smartTag w:uri="urn:schemas-microsoft-com:office:smarttags" w:element="address">
        <w:smartTag w:uri="urn:schemas-microsoft-com:office:smarttags" w:element="Street">
          <w:r>
            <w:t>Grand Valley Road</w:t>
          </w:r>
        </w:smartTag>
        <w:r>
          <w:t xml:space="preserve">, </w:t>
        </w:r>
        <w:smartTag w:uri="urn:schemas-microsoft-com:office:smarttags" w:element="City">
          <w:r>
            <w:t>Brandon</w:t>
          </w:r>
        </w:smartTag>
        <w:r>
          <w:t xml:space="preserve">, </w:t>
        </w:r>
        <w:smartTag w:uri="urn:schemas-microsoft-com:office:smarttags" w:element="State">
          <w:r>
            <w:t>Manitoba</w:t>
          </w:r>
        </w:smartTag>
        <w:r>
          <w:t xml:space="preserve">, </w:t>
        </w:r>
        <w:smartTag w:uri="urn:schemas-microsoft-com:office:smarttags" w:element="PostalCode">
          <w:r>
            <w:t>R7A 5Y3</w:t>
          </w:r>
        </w:smartTag>
      </w:smartTag>
      <w:r>
        <w:t>. 1-204-578-</w:t>
      </w:r>
      <w:proofErr w:type="gramStart"/>
      <w:r>
        <w:t xml:space="preserve">3570  </w:t>
      </w:r>
      <w:proofErr w:type="gramEnd"/>
      <w:r>
        <w:fldChar w:fldCharType="begin"/>
      </w:r>
      <w:r>
        <w:instrText xml:space="preserve"> HYPERLINK "mailto:Cynthia.Grant@agr.gc.ca" </w:instrText>
      </w:r>
      <w:r>
        <w:fldChar w:fldCharType="separate"/>
      </w:r>
      <w:r w:rsidRPr="00AB566F">
        <w:rPr>
          <w:rStyle w:val="Hyperlink"/>
        </w:rPr>
        <w:t>Cynthia.Grant@agr.gc.ca</w:t>
      </w:r>
      <w:r>
        <w:fldChar w:fldCharType="end"/>
      </w:r>
      <w:r>
        <w:t xml:space="preserve"> </w:t>
      </w:r>
    </w:p>
    <w:p w:rsidR="0045579E" w:rsidRDefault="0045579E" w:rsidP="00455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40"/>
      </w:pPr>
    </w:p>
    <w:p w:rsidR="0045579E" w:rsidRPr="00053775" w:rsidRDefault="0045579E" w:rsidP="00455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40"/>
      </w:pPr>
      <w:r w:rsidRPr="00053775">
        <w:t xml:space="preserve">Dr. Elroy Cober, </w:t>
      </w:r>
      <w:smartTag w:uri="urn:schemas-microsoft-com:office:smarttags" w:element="stockticker">
        <w:r w:rsidRPr="00053775">
          <w:t>AAFC</w:t>
        </w:r>
      </w:smartTag>
      <w:r w:rsidRPr="00053775">
        <w:t xml:space="preserve"> - </w:t>
      </w:r>
      <w:smartTag w:uri="urn:schemas-microsoft-com:office:smarttags" w:element="City">
        <w:smartTag w:uri="urn:schemas-microsoft-com:office:smarttags" w:element="place">
          <w:r w:rsidRPr="00053775">
            <w:t>Ottawa</w:t>
          </w:r>
        </w:smartTag>
      </w:smartTag>
      <w:r w:rsidRPr="00053775">
        <w:t xml:space="preserve">, </w:t>
      </w:r>
      <w:proofErr w:type="spellStart"/>
      <w:r w:rsidRPr="00053775">
        <w:t>Bldg</w:t>
      </w:r>
      <w:proofErr w:type="spellEnd"/>
      <w:r w:rsidRPr="00053775">
        <w:t xml:space="preserve"> 110, </w:t>
      </w:r>
      <w:smartTag w:uri="urn:schemas-microsoft-com:office:smarttags" w:element="place">
        <w:smartTag w:uri="urn:schemas-microsoft-com:office:smarttags" w:element="City">
          <w:r w:rsidRPr="00053775">
            <w:t>Ottawa</w:t>
          </w:r>
        </w:smartTag>
        <w:r w:rsidRPr="00053775">
          <w:t xml:space="preserve">, </w:t>
        </w:r>
        <w:smartTag w:uri="urn:schemas-microsoft-com:office:smarttags" w:element="State">
          <w:r w:rsidRPr="00053775">
            <w:t>Ontario</w:t>
          </w:r>
        </w:smartTag>
        <w:r w:rsidRPr="00053775">
          <w:t xml:space="preserve">, </w:t>
        </w:r>
        <w:smartTag w:uri="urn:schemas-microsoft-com:office:smarttags" w:element="PostalCode">
          <w:r w:rsidRPr="00053775">
            <w:t>K1A 0C6</w:t>
          </w:r>
        </w:smartTag>
      </w:smartTag>
      <w:r w:rsidRPr="00053775">
        <w:t>.</w:t>
      </w:r>
    </w:p>
    <w:p w:rsidR="0045579E" w:rsidRDefault="0045579E" w:rsidP="00455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40"/>
      </w:pPr>
      <w:r w:rsidRPr="00053775">
        <w:t xml:space="preserve">613 759 1610 </w:t>
      </w:r>
      <w:hyperlink r:id="rId9" w:history="1">
        <w:r w:rsidRPr="00053775">
          <w:rPr>
            <w:rStyle w:val="Hyperlink"/>
          </w:rPr>
          <w:t>Coberer@agr.gc.ca</w:t>
        </w:r>
      </w:hyperlink>
    </w:p>
    <w:p w:rsidR="0045579E" w:rsidRDefault="0045579E" w:rsidP="00455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40"/>
      </w:pPr>
    </w:p>
    <w:p w:rsidR="0045579E" w:rsidRDefault="0045579E" w:rsidP="00455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40"/>
      </w:pPr>
      <w:r>
        <w:t xml:space="preserve">Mark </w:t>
      </w:r>
      <w:proofErr w:type="spellStart"/>
      <w:r>
        <w:t>Sandercock</w:t>
      </w:r>
      <w:proofErr w:type="spellEnd"/>
      <w:r>
        <w:t xml:space="preserve"> AAFC Morden Research Station, Morden, Manitoba </w:t>
      </w:r>
      <w:hyperlink r:id="rId10" w:history="1">
        <w:r w:rsidR="001D20C3" w:rsidRPr="00362ACC">
          <w:rPr>
            <w:rStyle w:val="Hyperlink"/>
          </w:rPr>
          <w:t>Mark.sandercock@agr.gc.ca</w:t>
        </w:r>
      </w:hyperlink>
    </w:p>
    <w:p w:rsidR="0045579E" w:rsidRPr="00053775" w:rsidRDefault="0045579E" w:rsidP="00455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40"/>
      </w:pPr>
    </w:p>
    <w:p w:rsidR="0045579E" w:rsidRDefault="0045579E" w:rsidP="0045579E">
      <w:pPr>
        <w:outlineLvl w:val="0"/>
      </w:pPr>
      <w:r w:rsidRPr="001F118A">
        <w:rPr>
          <w:b/>
          <w:u w:val="single"/>
        </w:rPr>
        <w:t>MPGA Priority</w:t>
      </w:r>
      <w:r>
        <w:t>:  Quality oriented varieties with food quality characteristics.</w:t>
      </w:r>
    </w:p>
    <w:p w:rsidR="001F118A" w:rsidRPr="000E5250" w:rsidRDefault="001F118A" w:rsidP="001F118A">
      <w:pPr>
        <w:outlineLvl w:val="0"/>
        <w:rPr>
          <w:b/>
          <w:u w:val="single"/>
        </w:rPr>
      </w:pPr>
      <w:r w:rsidRPr="000E5250">
        <w:rPr>
          <w:b/>
          <w:u w:val="single"/>
        </w:rPr>
        <w:t>Brief Project Description and Results</w:t>
      </w:r>
    </w:p>
    <w:p w:rsidR="0045579E" w:rsidRDefault="0045579E" w:rsidP="0045579E">
      <w:r w:rsidRPr="00053775">
        <w:tab/>
        <w:t xml:space="preserve">Cadmium (Cd) is a toxic metal that has been identified in many crops in Canada in several important crop production regions.  </w:t>
      </w:r>
      <w:r>
        <w:t xml:space="preserve">When </w:t>
      </w:r>
      <w:r w:rsidRPr="00053775">
        <w:t xml:space="preserve">consumed, Cd binds to mammalian tissues, particularly the liver and kidney, </w:t>
      </w:r>
      <w:r>
        <w:t xml:space="preserve">and in high doses </w:t>
      </w:r>
      <w:r w:rsidRPr="00053775">
        <w:t>caus</w:t>
      </w:r>
      <w:r>
        <w:t>es</w:t>
      </w:r>
      <w:r w:rsidRPr="00053775">
        <w:t xml:space="preserve"> organ failure and cancer.  A limit of 200 ppb has been proposed by the World Health Organization for </w:t>
      </w:r>
      <w:r>
        <w:t xml:space="preserve">export </w:t>
      </w:r>
      <w:r w:rsidRPr="00053775">
        <w:t xml:space="preserve">grains.  </w:t>
      </w:r>
      <w:smartTag w:uri="urn:schemas-microsoft-com:office:smarttags" w:element="stockticker">
        <w:r w:rsidRPr="00053775">
          <w:t>AAFC</w:t>
        </w:r>
      </w:smartTag>
      <w:r w:rsidRPr="00053775">
        <w:t xml:space="preserve"> research in Manitoba from 2005 has established that in certain regions of the province (Morden, Carmen, Portage la Prairie), some soybean varieties accumulated up to 4 to 5 times the WHO allowable limit while in other regions (Winnipeg) the concentration of the same variety was less than 200 ppb.  Cadmium uptake is affected by the genetics of the variety and the amount of </w:t>
      </w:r>
      <w:r>
        <w:t>Cd in</w:t>
      </w:r>
      <w:r w:rsidRPr="00053775">
        <w:t xml:space="preserve"> the soil.  An </w:t>
      </w:r>
      <w:smartTag w:uri="urn:schemas-microsoft-com:office:smarttags" w:element="stockticker">
        <w:r w:rsidRPr="00053775">
          <w:t>AAFC</w:t>
        </w:r>
      </w:smartTag>
      <w:r w:rsidRPr="00053775">
        <w:t xml:space="preserve"> soybean breeding program has been initiated to breed low accumulating food-quality soybean varieties for </w:t>
      </w:r>
      <w:smartTag w:uri="urn:schemas-microsoft-com:office:smarttags" w:element="State">
        <w:smartTag w:uri="urn:schemas-microsoft-com:office:smarttags" w:element="place">
          <w:r w:rsidRPr="00053775">
            <w:t>Manitoba</w:t>
          </w:r>
        </w:smartTag>
      </w:smartTag>
      <w:r w:rsidRPr="00053775">
        <w:t xml:space="preserve">.  </w:t>
      </w:r>
    </w:p>
    <w:p w:rsidR="001F118A" w:rsidRDefault="001F118A" w:rsidP="0045579E">
      <w:r w:rsidRPr="001F118A">
        <w:rPr>
          <w:b/>
          <w:u w:val="single"/>
        </w:rPr>
        <w:lastRenderedPageBreak/>
        <w:t>Objective</w:t>
      </w:r>
      <w:r>
        <w:rPr>
          <w:b/>
          <w:u w:val="single"/>
        </w:rPr>
        <w:t>s</w:t>
      </w:r>
      <w:r w:rsidRPr="001F118A">
        <w:rPr>
          <w:b/>
        </w:rPr>
        <w:t>:</w:t>
      </w:r>
      <w:r>
        <w:t xml:space="preserve">  The objectives of the two year project was to establish a relationship between soil and seed cadmium concentration and the development of a soils test producers can use to determine the status of their fields.  Low cadmium accumulating varieties of soybean are being developed by AAFC to use on fields resulting in high soil cadmium concentration.  The goal of the project is to lower the average seed cadmium concentration of soybean grown in Manitoba.</w:t>
      </w:r>
    </w:p>
    <w:p w:rsidR="00496047" w:rsidRDefault="001F118A" w:rsidP="00496047">
      <w:r w:rsidRPr="001F118A">
        <w:rPr>
          <w:b/>
          <w:u w:val="single"/>
        </w:rPr>
        <w:t>Results:</w:t>
      </w:r>
      <w:r>
        <w:rPr>
          <w:b/>
          <w:u w:val="single"/>
        </w:rPr>
        <w:t xml:space="preserve"> </w:t>
      </w:r>
      <w:r w:rsidR="0045579E">
        <w:t>MPGA funded research to survey soybean farms in the affected region.  Fifty farms were sampled for grain and soil from producer’s fields in 2011 and 2012</w:t>
      </w:r>
      <w:r w:rsidR="00496047">
        <w:t xml:space="preserve"> (100 farms total)</w:t>
      </w:r>
      <w:r w:rsidR="0045579E">
        <w:t xml:space="preserve">. The 2011 seed was ground and analysed for cadmium concentration at the Grains Research Laboratory in Winnipeg.  </w:t>
      </w:r>
      <w:r>
        <w:t>The average seed cadmium concentration was 225 ppb with a range from 27 to 1014.  One half of the farms surveyed had seed cadmium concentrations below the 200 ppb CODEX limit.  Soil cadmium ranged from 83 to</w:t>
      </w:r>
      <w:r w:rsidR="00496047">
        <w:t xml:space="preserve"> 442 ppb with an average of 178 ppb.  A relationship was developed between seed and soil cadmium concentration using 2011 result (Figure 1).  The results are very similar to one developed in 2009 using soils from several regions of the country</w:t>
      </w:r>
      <w:r w:rsidR="000E5250">
        <w:t xml:space="preserve"> (Figure 2)</w:t>
      </w:r>
      <w:r w:rsidR="00496047">
        <w:t>.  Generally, from the data a soil cut-off concentration of 1</w:t>
      </w:r>
      <w:r w:rsidR="001D20C3">
        <w:t>60 to 170</w:t>
      </w:r>
      <w:r w:rsidR="00496047">
        <w:t xml:space="preserve"> ppb can be used to distinguish between fields that will result in soybean seed with a concentration greater than 200 ppb.    </w:t>
      </w:r>
    </w:p>
    <w:p w:rsidR="00496047" w:rsidRDefault="00496047" w:rsidP="00496047">
      <w:pPr>
        <w:rPr>
          <w:b/>
          <w:lang w:val="en"/>
        </w:rPr>
      </w:pPr>
      <w:r w:rsidRPr="000E5250">
        <w:rPr>
          <w:b/>
          <w:u w:val="single"/>
          <w:lang w:val="en"/>
        </w:rPr>
        <w:t>Milestones</w:t>
      </w:r>
      <w:r w:rsidRPr="000E5250">
        <w:rPr>
          <w:b/>
          <w:u w:val="single"/>
          <w:lang w:val="en"/>
        </w:rPr>
        <w:t xml:space="preserve"> and Progress</w:t>
      </w:r>
      <w:r>
        <w:rPr>
          <w:b/>
          <w:lang w:val="en"/>
        </w:rPr>
        <w:t>:</w:t>
      </w:r>
    </w:p>
    <w:p w:rsidR="00496047" w:rsidRDefault="00496047" w:rsidP="00496047">
      <w:pPr>
        <w:rPr>
          <w:lang w:val="en"/>
        </w:rPr>
      </w:pPr>
      <w:r>
        <w:rPr>
          <w:lang w:val="en"/>
        </w:rPr>
        <w:t xml:space="preserve">2011 </w:t>
      </w:r>
      <w:proofErr w:type="gramStart"/>
      <w:r>
        <w:rPr>
          <w:lang w:val="en"/>
        </w:rPr>
        <w:t>Spring</w:t>
      </w:r>
      <w:proofErr w:type="gramEnd"/>
      <w:r>
        <w:rPr>
          <w:lang w:val="en"/>
        </w:rPr>
        <w:t xml:space="preserve"> and Summer: </w:t>
      </w:r>
    </w:p>
    <w:p w:rsidR="00496047" w:rsidRPr="00496047" w:rsidRDefault="00496047" w:rsidP="00496047">
      <w:pPr>
        <w:numPr>
          <w:ilvl w:val="0"/>
          <w:numId w:val="2"/>
        </w:numPr>
        <w:autoSpaceDE w:val="0"/>
        <w:autoSpaceDN w:val="0"/>
        <w:adjustRightInd w:val="0"/>
        <w:spacing w:after="0"/>
        <w:rPr>
          <w:b/>
          <w:lang w:val="en"/>
        </w:rPr>
      </w:pPr>
      <w:r>
        <w:rPr>
          <w:lang w:val="en"/>
        </w:rPr>
        <w:t>Selection of consulting company</w:t>
      </w:r>
      <w:r>
        <w:rPr>
          <w:lang w:val="en"/>
        </w:rPr>
        <w:t xml:space="preserve">:  </w:t>
      </w:r>
    </w:p>
    <w:p w:rsidR="00496047" w:rsidRPr="00126A57" w:rsidRDefault="00496047" w:rsidP="00496047">
      <w:pPr>
        <w:numPr>
          <w:ilvl w:val="1"/>
          <w:numId w:val="2"/>
        </w:numPr>
        <w:autoSpaceDE w:val="0"/>
        <w:autoSpaceDN w:val="0"/>
        <w:adjustRightInd w:val="0"/>
        <w:spacing w:after="0"/>
        <w:rPr>
          <w:b/>
          <w:lang w:val="en"/>
        </w:rPr>
      </w:pPr>
      <w:r>
        <w:rPr>
          <w:lang w:val="en"/>
        </w:rPr>
        <w:t xml:space="preserve">AAFC </w:t>
      </w:r>
      <w:proofErr w:type="spellStart"/>
      <w:r>
        <w:rPr>
          <w:lang w:val="en"/>
        </w:rPr>
        <w:t>Morden</w:t>
      </w:r>
      <w:proofErr w:type="spellEnd"/>
      <w:r>
        <w:rPr>
          <w:lang w:val="en"/>
        </w:rPr>
        <w:t xml:space="preserve"> was chosen to conduct the research and Mark </w:t>
      </w:r>
      <w:proofErr w:type="spellStart"/>
      <w:r>
        <w:rPr>
          <w:lang w:val="en"/>
        </w:rPr>
        <w:t>Sandercock</w:t>
      </w:r>
      <w:proofErr w:type="spellEnd"/>
      <w:r>
        <w:rPr>
          <w:lang w:val="en"/>
        </w:rPr>
        <w:t xml:space="preserve"> was the lead at </w:t>
      </w:r>
      <w:proofErr w:type="spellStart"/>
      <w:r>
        <w:rPr>
          <w:lang w:val="en"/>
        </w:rPr>
        <w:t>Morden</w:t>
      </w:r>
      <w:proofErr w:type="spellEnd"/>
    </w:p>
    <w:p w:rsidR="00496047" w:rsidRPr="00496047" w:rsidRDefault="00496047" w:rsidP="00496047">
      <w:pPr>
        <w:numPr>
          <w:ilvl w:val="0"/>
          <w:numId w:val="2"/>
        </w:numPr>
        <w:autoSpaceDE w:val="0"/>
        <w:autoSpaceDN w:val="0"/>
        <w:adjustRightInd w:val="0"/>
        <w:spacing w:after="0"/>
        <w:rPr>
          <w:b/>
          <w:lang w:val="en"/>
        </w:rPr>
      </w:pPr>
      <w:r>
        <w:rPr>
          <w:lang w:val="en"/>
        </w:rPr>
        <w:t>Selection of farms for soil and seed testing</w:t>
      </w:r>
      <w:r>
        <w:rPr>
          <w:lang w:val="en"/>
        </w:rPr>
        <w:t>:</w:t>
      </w:r>
    </w:p>
    <w:p w:rsidR="00496047" w:rsidRPr="00126A57" w:rsidRDefault="00496047" w:rsidP="00496047">
      <w:pPr>
        <w:numPr>
          <w:ilvl w:val="1"/>
          <w:numId w:val="2"/>
        </w:numPr>
        <w:autoSpaceDE w:val="0"/>
        <w:autoSpaceDN w:val="0"/>
        <w:adjustRightInd w:val="0"/>
        <w:spacing w:after="0"/>
        <w:rPr>
          <w:b/>
          <w:lang w:val="en"/>
        </w:rPr>
      </w:pPr>
      <w:r>
        <w:rPr>
          <w:lang w:val="en"/>
        </w:rPr>
        <w:t xml:space="preserve">Farms were selected representing an area from the Manitoba escarpment east to the Red River and from </w:t>
      </w:r>
      <w:r w:rsidR="00C31D5D">
        <w:rPr>
          <w:lang w:val="en"/>
        </w:rPr>
        <w:t xml:space="preserve">an east west line extending through Carman south to the border.  Within each field 4 sites were selected and marked with GPS coordinates.  </w:t>
      </w:r>
      <w:r>
        <w:rPr>
          <w:lang w:val="en"/>
        </w:rPr>
        <w:t xml:space="preserve"> </w:t>
      </w:r>
    </w:p>
    <w:p w:rsidR="00496047" w:rsidRPr="00C31D5D" w:rsidRDefault="00496047" w:rsidP="00496047">
      <w:pPr>
        <w:numPr>
          <w:ilvl w:val="0"/>
          <w:numId w:val="2"/>
        </w:numPr>
        <w:autoSpaceDE w:val="0"/>
        <w:autoSpaceDN w:val="0"/>
        <w:adjustRightInd w:val="0"/>
        <w:spacing w:after="0"/>
        <w:rPr>
          <w:b/>
          <w:lang w:val="en"/>
        </w:rPr>
      </w:pPr>
      <w:r>
        <w:rPr>
          <w:lang w:val="en"/>
        </w:rPr>
        <w:t>Data collection.</w:t>
      </w:r>
    </w:p>
    <w:p w:rsidR="00C31D5D" w:rsidRPr="00126A57" w:rsidRDefault="00C31D5D" w:rsidP="00C31D5D">
      <w:pPr>
        <w:numPr>
          <w:ilvl w:val="1"/>
          <w:numId w:val="2"/>
        </w:numPr>
        <w:autoSpaceDE w:val="0"/>
        <w:autoSpaceDN w:val="0"/>
        <w:adjustRightInd w:val="0"/>
        <w:spacing w:after="0"/>
        <w:rPr>
          <w:b/>
          <w:lang w:val="en"/>
        </w:rPr>
      </w:pPr>
      <w:r>
        <w:rPr>
          <w:lang w:val="en"/>
        </w:rPr>
        <w:t>Soybean seed and soil were collected from each site in each field.</w:t>
      </w:r>
    </w:p>
    <w:p w:rsidR="00496047" w:rsidRDefault="00496047" w:rsidP="00496047">
      <w:pPr>
        <w:ind w:left="432"/>
        <w:rPr>
          <w:lang w:val="en"/>
        </w:rPr>
      </w:pPr>
    </w:p>
    <w:p w:rsidR="00496047" w:rsidRDefault="00496047" w:rsidP="00496047">
      <w:pPr>
        <w:rPr>
          <w:lang w:val="en"/>
        </w:rPr>
      </w:pPr>
      <w:r>
        <w:rPr>
          <w:lang w:val="en"/>
        </w:rPr>
        <w:t xml:space="preserve">2012 </w:t>
      </w:r>
      <w:proofErr w:type="gramStart"/>
      <w:r>
        <w:rPr>
          <w:lang w:val="en"/>
        </w:rPr>
        <w:t>Winter</w:t>
      </w:r>
      <w:proofErr w:type="gramEnd"/>
      <w:r>
        <w:rPr>
          <w:lang w:val="en"/>
        </w:rPr>
        <w:t>:</w:t>
      </w:r>
    </w:p>
    <w:p w:rsidR="00496047" w:rsidRPr="00C31D5D" w:rsidRDefault="00496047" w:rsidP="00496047">
      <w:pPr>
        <w:numPr>
          <w:ilvl w:val="0"/>
          <w:numId w:val="3"/>
        </w:numPr>
        <w:autoSpaceDE w:val="0"/>
        <w:autoSpaceDN w:val="0"/>
        <w:adjustRightInd w:val="0"/>
        <w:spacing w:after="0"/>
        <w:rPr>
          <w:b/>
          <w:lang w:val="en"/>
        </w:rPr>
      </w:pPr>
      <w:r>
        <w:rPr>
          <w:lang w:val="en"/>
        </w:rPr>
        <w:t>Soil Cd extraction and analysis.</w:t>
      </w:r>
    </w:p>
    <w:p w:rsidR="00C31D5D" w:rsidRPr="00062017" w:rsidRDefault="00C31D5D" w:rsidP="00C31D5D">
      <w:pPr>
        <w:numPr>
          <w:ilvl w:val="1"/>
          <w:numId w:val="3"/>
        </w:numPr>
        <w:autoSpaceDE w:val="0"/>
        <w:autoSpaceDN w:val="0"/>
        <w:adjustRightInd w:val="0"/>
        <w:spacing w:after="0"/>
        <w:rPr>
          <w:b/>
          <w:lang w:val="en"/>
        </w:rPr>
      </w:pPr>
      <w:r>
        <w:rPr>
          <w:lang w:val="en"/>
        </w:rPr>
        <w:t>Soil was sent to Bra</w:t>
      </w:r>
      <w:r w:rsidR="000E5250">
        <w:rPr>
          <w:lang w:val="en"/>
        </w:rPr>
        <w:t>ndon, Manitoba for analysis.</w:t>
      </w:r>
    </w:p>
    <w:p w:rsidR="00496047" w:rsidRPr="00C31D5D" w:rsidRDefault="00496047" w:rsidP="00496047">
      <w:pPr>
        <w:numPr>
          <w:ilvl w:val="0"/>
          <w:numId w:val="3"/>
        </w:numPr>
        <w:autoSpaceDE w:val="0"/>
        <w:autoSpaceDN w:val="0"/>
        <w:adjustRightInd w:val="0"/>
        <w:spacing w:after="0"/>
        <w:rPr>
          <w:b/>
          <w:lang w:val="en"/>
        </w:rPr>
      </w:pPr>
      <w:r>
        <w:rPr>
          <w:lang w:val="en"/>
        </w:rPr>
        <w:t>Seed ground and Cd analysis.</w:t>
      </w:r>
    </w:p>
    <w:p w:rsidR="00C31D5D" w:rsidRPr="00126A57" w:rsidRDefault="00C31D5D" w:rsidP="00C31D5D">
      <w:pPr>
        <w:numPr>
          <w:ilvl w:val="1"/>
          <w:numId w:val="3"/>
        </w:numPr>
        <w:autoSpaceDE w:val="0"/>
        <w:autoSpaceDN w:val="0"/>
        <w:adjustRightInd w:val="0"/>
        <w:spacing w:after="0"/>
        <w:rPr>
          <w:b/>
          <w:lang w:val="en"/>
        </w:rPr>
      </w:pPr>
      <w:r>
        <w:rPr>
          <w:lang w:val="en"/>
        </w:rPr>
        <w:t xml:space="preserve">Soybean seed was threshed in </w:t>
      </w:r>
      <w:proofErr w:type="spellStart"/>
      <w:r>
        <w:rPr>
          <w:lang w:val="en"/>
        </w:rPr>
        <w:t>Morden</w:t>
      </w:r>
      <w:proofErr w:type="spellEnd"/>
      <w:r>
        <w:rPr>
          <w:lang w:val="en"/>
        </w:rPr>
        <w:t>, shipped to Ottawa for grinding and shipped to GRL for processing.</w:t>
      </w:r>
    </w:p>
    <w:p w:rsidR="00496047" w:rsidRDefault="00496047" w:rsidP="00496047">
      <w:pPr>
        <w:numPr>
          <w:ilvl w:val="0"/>
          <w:numId w:val="3"/>
        </w:numPr>
        <w:autoSpaceDE w:val="0"/>
        <w:autoSpaceDN w:val="0"/>
        <w:adjustRightInd w:val="0"/>
        <w:spacing w:after="0"/>
        <w:rPr>
          <w:lang w:val="en"/>
        </w:rPr>
      </w:pPr>
      <w:r w:rsidRPr="00062017">
        <w:rPr>
          <w:lang w:val="en"/>
        </w:rPr>
        <w:t>Data interpr</w:t>
      </w:r>
      <w:r>
        <w:rPr>
          <w:lang w:val="en"/>
        </w:rPr>
        <w:t>etation and reporting.</w:t>
      </w:r>
    </w:p>
    <w:p w:rsidR="00C31D5D" w:rsidRDefault="00C31D5D" w:rsidP="00C31D5D">
      <w:pPr>
        <w:numPr>
          <w:ilvl w:val="1"/>
          <w:numId w:val="3"/>
        </w:numPr>
        <w:autoSpaceDE w:val="0"/>
        <w:autoSpaceDN w:val="0"/>
        <w:adjustRightInd w:val="0"/>
        <w:spacing w:after="0"/>
        <w:rPr>
          <w:lang w:val="en"/>
        </w:rPr>
      </w:pPr>
      <w:r>
        <w:rPr>
          <w:lang w:val="en"/>
        </w:rPr>
        <w:t>In la</w:t>
      </w:r>
      <w:r w:rsidR="000E5250">
        <w:rPr>
          <w:lang w:val="en"/>
        </w:rPr>
        <w:t>te spring the data was received from Brandon and Winnipeg.</w:t>
      </w:r>
    </w:p>
    <w:p w:rsidR="00496047" w:rsidRDefault="00496047" w:rsidP="00496047">
      <w:pPr>
        <w:numPr>
          <w:ilvl w:val="0"/>
          <w:numId w:val="3"/>
        </w:numPr>
        <w:autoSpaceDE w:val="0"/>
        <w:autoSpaceDN w:val="0"/>
        <w:adjustRightInd w:val="0"/>
        <w:spacing w:after="0"/>
        <w:rPr>
          <w:lang w:val="en"/>
        </w:rPr>
      </w:pPr>
      <w:r>
        <w:rPr>
          <w:lang w:val="en"/>
        </w:rPr>
        <w:t>Producers are informed about the Cd in their soils and soybean samples.</w:t>
      </w:r>
      <w:r w:rsidR="000E5250">
        <w:rPr>
          <w:lang w:val="en"/>
        </w:rPr>
        <w:t xml:space="preserve"> </w:t>
      </w:r>
    </w:p>
    <w:p w:rsidR="000E5250" w:rsidRDefault="000E5250" w:rsidP="000E5250">
      <w:pPr>
        <w:numPr>
          <w:ilvl w:val="1"/>
          <w:numId w:val="3"/>
        </w:numPr>
        <w:autoSpaceDE w:val="0"/>
        <w:autoSpaceDN w:val="0"/>
        <w:adjustRightInd w:val="0"/>
        <w:spacing w:after="0"/>
        <w:rPr>
          <w:lang w:val="en"/>
        </w:rPr>
      </w:pPr>
      <w:r>
        <w:rPr>
          <w:lang w:val="en"/>
        </w:rPr>
        <w:t>This has not been done yet</w:t>
      </w:r>
    </w:p>
    <w:p w:rsidR="00496047" w:rsidRDefault="00496047" w:rsidP="00496047">
      <w:pPr>
        <w:rPr>
          <w:lang w:val="en"/>
        </w:rPr>
      </w:pPr>
    </w:p>
    <w:p w:rsidR="00496047" w:rsidRDefault="00496047" w:rsidP="00496047">
      <w:pPr>
        <w:rPr>
          <w:lang w:val="en"/>
        </w:rPr>
      </w:pPr>
      <w:r>
        <w:rPr>
          <w:lang w:val="en"/>
        </w:rPr>
        <w:lastRenderedPageBreak/>
        <w:t xml:space="preserve">2012 </w:t>
      </w:r>
      <w:proofErr w:type="gramStart"/>
      <w:r>
        <w:rPr>
          <w:lang w:val="en"/>
        </w:rPr>
        <w:t>Summer</w:t>
      </w:r>
      <w:proofErr w:type="gramEnd"/>
      <w:r>
        <w:rPr>
          <w:lang w:val="en"/>
        </w:rPr>
        <w:t>:</w:t>
      </w:r>
    </w:p>
    <w:p w:rsidR="00496047" w:rsidRDefault="00496047" w:rsidP="00496047">
      <w:pPr>
        <w:numPr>
          <w:ilvl w:val="0"/>
          <w:numId w:val="4"/>
        </w:numPr>
        <w:autoSpaceDE w:val="0"/>
        <w:autoSpaceDN w:val="0"/>
        <w:adjustRightInd w:val="0"/>
        <w:spacing w:after="0"/>
        <w:rPr>
          <w:lang w:val="en"/>
        </w:rPr>
      </w:pPr>
      <w:r>
        <w:rPr>
          <w:lang w:val="en"/>
        </w:rPr>
        <w:t>Second summer of data collection following 2011 protocol.</w:t>
      </w:r>
    </w:p>
    <w:p w:rsidR="000E5250" w:rsidRDefault="000E5250" w:rsidP="000E5250">
      <w:pPr>
        <w:numPr>
          <w:ilvl w:val="1"/>
          <w:numId w:val="4"/>
        </w:numPr>
        <w:autoSpaceDE w:val="0"/>
        <w:autoSpaceDN w:val="0"/>
        <w:adjustRightInd w:val="0"/>
        <w:spacing w:after="0"/>
        <w:rPr>
          <w:lang w:val="en"/>
        </w:rPr>
      </w:pPr>
      <w:r>
        <w:rPr>
          <w:lang w:val="en"/>
        </w:rPr>
        <w:t xml:space="preserve">Seed and soil samples have been collected </w:t>
      </w:r>
    </w:p>
    <w:p w:rsidR="00496047" w:rsidRDefault="00496047" w:rsidP="00496047">
      <w:pPr>
        <w:ind w:left="360"/>
        <w:rPr>
          <w:lang w:val="en"/>
        </w:rPr>
      </w:pPr>
    </w:p>
    <w:p w:rsidR="00496047" w:rsidRDefault="00496047" w:rsidP="00496047">
      <w:pPr>
        <w:rPr>
          <w:lang w:val="en"/>
        </w:rPr>
      </w:pPr>
      <w:r>
        <w:rPr>
          <w:lang w:val="en"/>
        </w:rPr>
        <w:t xml:space="preserve">2013 </w:t>
      </w:r>
      <w:proofErr w:type="gramStart"/>
      <w:r>
        <w:rPr>
          <w:lang w:val="en"/>
        </w:rPr>
        <w:t>Winter</w:t>
      </w:r>
      <w:proofErr w:type="gramEnd"/>
      <w:r>
        <w:rPr>
          <w:lang w:val="en"/>
        </w:rPr>
        <w:t>:</w:t>
      </w:r>
    </w:p>
    <w:p w:rsidR="00496047" w:rsidRDefault="00496047" w:rsidP="00496047">
      <w:pPr>
        <w:numPr>
          <w:ilvl w:val="0"/>
          <w:numId w:val="4"/>
        </w:numPr>
        <w:autoSpaceDE w:val="0"/>
        <w:autoSpaceDN w:val="0"/>
        <w:adjustRightInd w:val="0"/>
        <w:spacing w:after="0"/>
        <w:rPr>
          <w:lang w:val="en"/>
        </w:rPr>
      </w:pPr>
      <w:r>
        <w:rPr>
          <w:lang w:val="en"/>
        </w:rPr>
        <w:t>Soil Cd extraction and analysis.</w:t>
      </w:r>
    </w:p>
    <w:p w:rsidR="00496047" w:rsidRDefault="00496047" w:rsidP="00496047">
      <w:pPr>
        <w:numPr>
          <w:ilvl w:val="0"/>
          <w:numId w:val="4"/>
        </w:numPr>
        <w:autoSpaceDE w:val="0"/>
        <w:autoSpaceDN w:val="0"/>
        <w:adjustRightInd w:val="0"/>
        <w:spacing w:after="0"/>
        <w:rPr>
          <w:lang w:val="en"/>
        </w:rPr>
      </w:pPr>
      <w:r>
        <w:rPr>
          <w:lang w:val="en"/>
        </w:rPr>
        <w:t>Seed ground and Cd analysis.</w:t>
      </w:r>
    </w:p>
    <w:p w:rsidR="00496047" w:rsidRPr="00E12B9C" w:rsidRDefault="00496047" w:rsidP="00496047">
      <w:pPr>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pPr>
      <w:r>
        <w:rPr>
          <w:lang w:val="en"/>
        </w:rPr>
        <w:t xml:space="preserve">Data </w:t>
      </w:r>
      <w:proofErr w:type="spellStart"/>
      <w:r>
        <w:rPr>
          <w:lang w:val="en"/>
        </w:rPr>
        <w:t>interpretation</w:t>
      </w:r>
      <w:proofErr w:type="gramStart"/>
      <w:r>
        <w:rPr>
          <w:lang w:val="en"/>
        </w:rPr>
        <w:t>,model</w:t>
      </w:r>
      <w:proofErr w:type="spellEnd"/>
      <w:proofErr w:type="gramEnd"/>
      <w:r>
        <w:rPr>
          <w:lang w:val="en"/>
        </w:rPr>
        <w:t xml:space="preserve"> development, report writing, project evaluation to determine the next steps in Manitoba.</w:t>
      </w:r>
    </w:p>
    <w:p w:rsidR="0045579E" w:rsidRPr="00053775" w:rsidRDefault="0045579E" w:rsidP="0045579E">
      <w:pPr>
        <w:rPr>
          <w:b/>
        </w:rPr>
      </w:pPr>
    </w:p>
    <w:p w:rsidR="0045579E" w:rsidRPr="00053775" w:rsidRDefault="0045579E" w:rsidP="0045579E">
      <w:pPr>
        <w:rPr>
          <w:b/>
        </w:rPr>
      </w:pPr>
    </w:p>
    <w:p w:rsidR="000E5250" w:rsidRPr="000E5250" w:rsidRDefault="000E5250" w:rsidP="0045579E">
      <w:pPr>
        <w:rPr>
          <w:b/>
          <w:u w:val="single"/>
          <w:lang w:val="en"/>
        </w:rPr>
      </w:pPr>
      <w:r w:rsidRPr="000E5250">
        <w:rPr>
          <w:b/>
          <w:u w:val="single"/>
          <w:lang w:val="en"/>
        </w:rPr>
        <w:t>Background Information from Original Proposal</w:t>
      </w:r>
    </w:p>
    <w:p w:rsidR="0045579E" w:rsidRPr="00053775" w:rsidRDefault="0045579E" w:rsidP="0045579E">
      <w:pPr>
        <w:rPr>
          <w:b/>
          <w:lang w:val="en"/>
        </w:rPr>
      </w:pPr>
      <w:r w:rsidRPr="00053775">
        <w:rPr>
          <w:b/>
          <w:lang w:val="en"/>
        </w:rPr>
        <w:t>Literature review</w:t>
      </w:r>
    </w:p>
    <w:p w:rsidR="0045579E" w:rsidRPr="00053775" w:rsidRDefault="0045579E" w:rsidP="0045579E">
      <w:pPr>
        <w:ind w:firstLine="720"/>
      </w:pPr>
      <w:r w:rsidRPr="00053775">
        <w:t>Selecting low cadmium (Cd) accumulating varieties of staple crops, such as soybean, will provide Canadians with a healthy food supply and help secure international export markets.  High levels of Cd have been recorded in staple food crops such as durum wheat, potato, soybean</w:t>
      </w:r>
      <w:r>
        <w:t>,</w:t>
      </w:r>
      <w:r w:rsidRPr="00053775">
        <w:t xml:space="preserve"> and rice (Grant et al. 2008). Health </w:t>
      </w:r>
      <w:smartTag w:uri="urn:schemas-microsoft-com:office:smarttags" w:element="country-region">
        <w:smartTag w:uri="urn:schemas-microsoft-com:office:smarttags" w:element="place">
          <w:r w:rsidRPr="00053775">
            <w:t>Canada</w:t>
          </w:r>
        </w:smartTag>
      </w:smartTag>
      <w:r w:rsidRPr="00053775">
        <w:t xml:space="preserve"> established a non-carcinogenic toxicological reference value of 0.0008 mg/kg/day (mg of soybean/kg of body weight/day) for Cd (2006).  To put this in perspective, a 100 kg person could consume 400 g of soybean containing 0.2 ppm Cd while a 25 kg child could consume 100 g of soybean.  If the concentration of Cd </w:t>
      </w:r>
      <w:r>
        <w:t xml:space="preserve">in the seed </w:t>
      </w:r>
      <w:r w:rsidRPr="00053775">
        <w:t>double</w:t>
      </w:r>
      <w:r>
        <w:t>d</w:t>
      </w:r>
      <w:r w:rsidRPr="00053775">
        <w:t xml:space="preserve"> to 0.4 ppm the adult and child could then consume </w:t>
      </w:r>
      <w:r>
        <w:t xml:space="preserve">only </w:t>
      </w:r>
      <w:r w:rsidRPr="00053775">
        <w:t>200 and 50 g of soybean, respectively, well within achievable daily</w:t>
      </w:r>
      <w:r>
        <w:t xml:space="preserve"> limits</w:t>
      </w:r>
      <w:r w:rsidRPr="00053775">
        <w:t xml:space="preserve">.  If consumed in excess, Cd binds to mammalian tissues, particularly the liver and kidney, causing organ failure and cancer (Malan and </w:t>
      </w:r>
      <w:proofErr w:type="spellStart"/>
      <w:r w:rsidRPr="00053775">
        <w:t>Farrant</w:t>
      </w:r>
      <w:proofErr w:type="spellEnd"/>
      <w:r w:rsidRPr="00053775">
        <w:t xml:space="preserve"> 1998). Trade regulations established by the World Health Organization (CODEX </w:t>
      </w:r>
      <w:proofErr w:type="spellStart"/>
      <w:r w:rsidRPr="00053775">
        <w:t>Alimentarius</w:t>
      </w:r>
      <w:proofErr w:type="spellEnd"/>
      <w:r w:rsidRPr="00053775">
        <w:t xml:space="preserve">) set a maximum of 0.2 mg/kg of Cd </w:t>
      </w:r>
      <w:r>
        <w:t xml:space="preserve">(200 ppb) </w:t>
      </w:r>
      <w:r w:rsidRPr="00053775">
        <w:t xml:space="preserve">in soybean (2008). </w:t>
      </w:r>
    </w:p>
    <w:p w:rsidR="0045579E" w:rsidRPr="00053775" w:rsidRDefault="0045579E" w:rsidP="0045579E">
      <w:r w:rsidRPr="00053775">
        <w:tab/>
      </w:r>
      <w:r>
        <w:t>While the major factor affecting Cd concentration in soil is the natural abundance of the element, t</w:t>
      </w:r>
      <w:r w:rsidRPr="00053775">
        <w:t xml:space="preserve">he application of fertilizers, manure and sewage sludge to fields has increased </w:t>
      </w:r>
      <w:r>
        <w:t xml:space="preserve">its concentration </w:t>
      </w:r>
      <w:r w:rsidRPr="00053775">
        <w:t xml:space="preserve">(Shute and </w:t>
      </w:r>
      <w:proofErr w:type="spellStart"/>
      <w:r w:rsidRPr="00053775">
        <w:t>Macfie</w:t>
      </w:r>
      <w:proofErr w:type="spellEnd"/>
      <w:r w:rsidRPr="00053775">
        <w:t xml:space="preserve"> 2006). In environments where it is more bio-available, Cd uptake by plants increases. Grant et al. (200</w:t>
      </w:r>
      <w:r>
        <w:t>8</w:t>
      </w:r>
      <w:r w:rsidRPr="00053775">
        <w:t>) documented the extensive Canadian experience breeding low</w:t>
      </w:r>
      <w:r>
        <w:t>-Cd</w:t>
      </w:r>
      <w:r w:rsidRPr="00053775">
        <w:t xml:space="preserve"> accumulating durum wheat.  In durum wheat, low-cadmium accumulation is controlled by a single dominant gene, which seems to have no or minor adverse effects on other traits.  The first low cadmium durum cultivar was released in 2004 and now occupies more than 25% of the acreage.  Any new durum cultivars registered </w:t>
      </w:r>
      <w:r>
        <w:t xml:space="preserve">in </w:t>
      </w:r>
      <w:smartTag w:uri="urn:schemas-microsoft-com:office:smarttags" w:element="country-region">
        <w:smartTag w:uri="urn:schemas-microsoft-com:office:smarttags" w:element="place">
          <w:r>
            <w:t>Canada</w:t>
          </w:r>
        </w:smartTag>
      </w:smartTag>
      <w:r>
        <w:t xml:space="preserve"> </w:t>
      </w:r>
      <w:r w:rsidRPr="00053775">
        <w:t xml:space="preserve">must now be low cadmium accumulators.  </w:t>
      </w:r>
    </w:p>
    <w:p w:rsidR="0045579E" w:rsidRDefault="0045579E" w:rsidP="0045579E">
      <w:pPr>
        <w:ind w:firstLine="720"/>
      </w:pPr>
      <w:r w:rsidRPr="00053775">
        <w:t>Differences in Cd accumulation and mobility, as well as in Cd toxicity symptom intensity</w:t>
      </w:r>
      <w:r>
        <w:t xml:space="preserve"> </w:t>
      </w:r>
      <w:r w:rsidRPr="00053775">
        <w:t xml:space="preserve">exist among soybean varieties (Grant et al. 2008; </w:t>
      </w:r>
      <w:proofErr w:type="spellStart"/>
      <w:r w:rsidRPr="00053775">
        <w:t>Arao</w:t>
      </w:r>
      <w:proofErr w:type="spellEnd"/>
      <w:r w:rsidRPr="00053775">
        <w:t xml:space="preserve"> et al. 2003</w:t>
      </w:r>
      <w:r>
        <w:t>.  Cadmium has been shown to reduce root elongation and damage root structure, interfering with the translocation of other nutrients (</w:t>
      </w:r>
      <w:proofErr w:type="spellStart"/>
      <w:r>
        <w:t>Marchiol</w:t>
      </w:r>
      <w:proofErr w:type="spellEnd"/>
      <w:r>
        <w:t xml:space="preserve"> et al. 1996). Often visible symptoms of Cd </w:t>
      </w:r>
      <w:r>
        <w:lastRenderedPageBreak/>
        <w:t xml:space="preserve">damage occur far after the concentrations of the seed have exceeded WHO limits, increasing the Cd levels in the food system.  </w:t>
      </w:r>
      <w:r w:rsidRPr="00053775">
        <w:t xml:space="preserve">Of </w:t>
      </w:r>
      <w:r>
        <w:t xml:space="preserve">the </w:t>
      </w:r>
      <w:r w:rsidRPr="00053775">
        <w:t xml:space="preserve">Canadian soybean cultivars that have been tested, 70% are high Cd accumulators and 30% are low Cd accumulators (Morrison et al. 2009).  </w:t>
      </w:r>
      <w:r>
        <w:t xml:space="preserve">There is also </w:t>
      </w:r>
      <w:r w:rsidRPr="00053775">
        <w:t xml:space="preserve">a </w:t>
      </w:r>
      <w:r>
        <w:t>good</w:t>
      </w:r>
      <w:r w:rsidRPr="00053775">
        <w:t xml:space="preserve"> relationship between available soil Cd concentration and seed concentration.</w:t>
      </w:r>
      <w:r>
        <w:t xml:space="preserve">  </w:t>
      </w:r>
      <w:r w:rsidRPr="00053775">
        <w:t xml:space="preserve"> </w:t>
      </w:r>
    </w:p>
    <w:p w:rsidR="0045579E" w:rsidRDefault="0045579E" w:rsidP="0045579E">
      <w:pPr>
        <w:tabs>
          <w:tab w:val="left" w:pos="9900"/>
        </w:tabs>
        <w:rPr>
          <w:b/>
          <w:lang w:val="en"/>
        </w:rPr>
      </w:pPr>
      <w:r>
        <w:rPr>
          <w:b/>
          <w:lang w:val="en"/>
        </w:rPr>
        <w:t xml:space="preserve">Research </w:t>
      </w:r>
      <w:r w:rsidRPr="003A55E8">
        <w:rPr>
          <w:b/>
          <w:lang w:val="en"/>
        </w:rPr>
        <w:t>Objectives</w:t>
      </w:r>
      <w:r>
        <w:rPr>
          <w:b/>
          <w:lang w:val="en"/>
        </w:rPr>
        <w:t>:</w:t>
      </w:r>
    </w:p>
    <w:p w:rsidR="0045579E" w:rsidRDefault="0045579E" w:rsidP="0045579E">
      <w:pPr>
        <w:numPr>
          <w:ilvl w:val="0"/>
          <w:numId w:val="1"/>
        </w:numPr>
        <w:autoSpaceDE w:val="0"/>
        <w:autoSpaceDN w:val="0"/>
        <w:adjustRightInd w:val="0"/>
        <w:spacing w:after="0"/>
        <w:rPr>
          <w:lang w:val="en"/>
        </w:rPr>
      </w:pPr>
      <w:r>
        <w:rPr>
          <w:lang w:val="en"/>
        </w:rPr>
        <w:t>Collect soil and soybean seed samples from farms in the affected regions of Manitoba.</w:t>
      </w:r>
    </w:p>
    <w:p w:rsidR="0045579E" w:rsidRDefault="0045579E" w:rsidP="0045579E">
      <w:pPr>
        <w:numPr>
          <w:ilvl w:val="0"/>
          <w:numId w:val="1"/>
        </w:numPr>
        <w:autoSpaceDE w:val="0"/>
        <w:autoSpaceDN w:val="0"/>
        <w:adjustRightInd w:val="0"/>
        <w:spacing w:after="0"/>
        <w:rPr>
          <w:lang w:val="en"/>
        </w:rPr>
      </w:pPr>
      <w:proofErr w:type="spellStart"/>
      <w:r>
        <w:rPr>
          <w:lang w:val="en"/>
        </w:rPr>
        <w:t>Analyse</w:t>
      </w:r>
      <w:proofErr w:type="spellEnd"/>
      <w:r>
        <w:rPr>
          <w:lang w:val="en"/>
        </w:rPr>
        <w:t xml:space="preserve"> samples for Cd concentration and develop the relationship between available soil Cd and accumulated seed Cd.</w:t>
      </w:r>
    </w:p>
    <w:p w:rsidR="0045579E" w:rsidRDefault="0045579E" w:rsidP="0045579E">
      <w:pPr>
        <w:numPr>
          <w:ilvl w:val="0"/>
          <w:numId w:val="1"/>
        </w:numPr>
        <w:autoSpaceDE w:val="0"/>
        <w:autoSpaceDN w:val="0"/>
        <w:adjustRightInd w:val="0"/>
        <w:spacing w:after="0"/>
        <w:rPr>
          <w:lang w:val="en"/>
        </w:rPr>
      </w:pPr>
      <w:r>
        <w:rPr>
          <w:lang w:val="en"/>
        </w:rPr>
        <w:t>Identification of commercial laboratories in Manitoba capable and interested in determining Cd concentration in soil.</w:t>
      </w:r>
    </w:p>
    <w:p w:rsidR="0045579E" w:rsidRDefault="0045579E" w:rsidP="0045579E">
      <w:pPr>
        <w:ind w:left="360"/>
        <w:rPr>
          <w:lang w:val="en"/>
        </w:rPr>
      </w:pPr>
    </w:p>
    <w:p w:rsidR="0045579E" w:rsidRPr="005E0EAC" w:rsidRDefault="0045579E" w:rsidP="0045579E">
      <w:pPr>
        <w:rPr>
          <w:b/>
          <w:lang w:val="en"/>
        </w:rPr>
      </w:pPr>
      <w:r>
        <w:rPr>
          <w:b/>
          <w:lang w:val="en"/>
        </w:rPr>
        <w:t xml:space="preserve">Experiment Activities and Methods. </w:t>
      </w:r>
    </w:p>
    <w:p w:rsidR="0045579E" w:rsidRPr="005E0EAC" w:rsidRDefault="0045579E" w:rsidP="0045579E">
      <w:r w:rsidRPr="005E0EAC">
        <w:rPr>
          <w:lang w:val="en"/>
        </w:rPr>
        <w:t>2011-2012:</w:t>
      </w:r>
      <w:r w:rsidRPr="005E0EAC">
        <w:rPr>
          <w:lang w:val="en"/>
        </w:rPr>
        <w:tab/>
        <w:t xml:space="preserve">Obtain </w:t>
      </w:r>
      <w:r>
        <w:rPr>
          <w:lang w:val="en"/>
        </w:rPr>
        <w:t xml:space="preserve">a </w:t>
      </w:r>
      <w:r w:rsidRPr="005E0EAC">
        <w:rPr>
          <w:lang w:val="en"/>
        </w:rPr>
        <w:t xml:space="preserve">cooperator in Manitoba to sample seed and soil from </w:t>
      </w:r>
      <w:r>
        <w:rPr>
          <w:lang w:val="en"/>
        </w:rPr>
        <w:t xml:space="preserve">55 </w:t>
      </w:r>
      <w:r w:rsidRPr="005E0EAC">
        <w:rPr>
          <w:lang w:val="en"/>
        </w:rPr>
        <w:t>farms in the region</w:t>
      </w:r>
      <w:r>
        <w:rPr>
          <w:lang w:val="en"/>
        </w:rPr>
        <w:t xml:space="preserve"> previously identified as having the highest seed Cd concentration</w:t>
      </w:r>
      <w:r w:rsidRPr="005E0EAC">
        <w:rPr>
          <w:lang w:val="en"/>
        </w:rPr>
        <w:t xml:space="preserve">.  </w:t>
      </w:r>
      <w:r>
        <w:rPr>
          <w:lang w:val="en"/>
        </w:rPr>
        <w:t xml:space="preserve">Ideally, the cooperator would be an Ag Advisory company </w:t>
      </w:r>
      <w:proofErr w:type="spellStart"/>
      <w:r>
        <w:rPr>
          <w:lang w:val="en"/>
        </w:rPr>
        <w:t>knowledgable</w:t>
      </w:r>
      <w:proofErr w:type="spellEnd"/>
      <w:r>
        <w:rPr>
          <w:lang w:val="en"/>
        </w:rPr>
        <w:t xml:space="preserve"> of soybean farmers in southern Manitoba.  Also, it would be best if the farmers were growing varieties suitable for a food market.  Soil samples (200 g) would be collected from the top 15 cm of the soil.  The aim would be to have 5 samples collected from a 100 ha field.  Each soil sample would have a </w:t>
      </w:r>
      <w:smartTag w:uri="urn:schemas-microsoft-com:office:smarttags" w:element="stockticker">
        <w:r>
          <w:rPr>
            <w:lang w:val="en"/>
          </w:rPr>
          <w:t>GPS</w:t>
        </w:r>
      </w:smartTag>
      <w:r>
        <w:rPr>
          <w:lang w:val="en"/>
        </w:rPr>
        <w:t xml:space="preserve"> coordinate.  Seed samples from 3 plants at the same location as the soil sample would be collected shortly before harvest.  Seed and soil samples would be analyzed for Cd </w:t>
      </w:r>
      <w:proofErr w:type="gramStart"/>
      <w:r>
        <w:rPr>
          <w:lang w:val="en"/>
        </w:rPr>
        <w:t>concentration,</w:t>
      </w:r>
      <w:proofErr w:type="gramEnd"/>
      <w:r>
        <w:rPr>
          <w:lang w:val="en"/>
        </w:rPr>
        <w:t xml:space="preserve"> and other related elements, and a relationship developed between seed and soil concentration.    </w:t>
      </w:r>
      <w:r w:rsidRPr="005E0EAC">
        <w:t xml:space="preserve">  </w:t>
      </w:r>
    </w:p>
    <w:p w:rsidR="0045579E" w:rsidRPr="005E0EAC" w:rsidRDefault="0045579E" w:rsidP="0045579E">
      <w:pPr>
        <w:rPr>
          <w:lang w:val="en"/>
        </w:rPr>
      </w:pPr>
      <w:r w:rsidRPr="005E0EAC">
        <w:rPr>
          <w:lang w:val="en"/>
        </w:rPr>
        <w:t>2012-2013:</w:t>
      </w:r>
      <w:r w:rsidRPr="005E0EAC">
        <w:rPr>
          <w:lang w:val="en"/>
        </w:rPr>
        <w:tab/>
      </w:r>
      <w:r>
        <w:rPr>
          <w:lang w:val="en"/>
        </w:rPr>
        <w:t xml:space="preserve">Second summer of soil and seed data collection from farms in the affected region following the 2011 protocol.  Soils and seed Cd data base will be used to develop the relationship between seed and soil concentration in Manitoba. </w:t>
      </w:r>
      <w:r w:rsidRPr="005E0EAC">
        <w:t xml:space="preserve">Summarize and review results with </w:t>
      </w:r>
      <w:r>
        <w:t xml:space="preserve">farmer </w:t>
      </w:r>
      <w:r w:rsidRPr="005E0EAC">
        <w:t>stakeholders</w:t>
      </w:r>
      <w:r>
        <w:t>,</w:t>
      </w:r>
      <w:r w:rsidRPr="005E0EAC">
        <w:t xml:space="preserve"> </w:t>
      </w:r>
      <w:r>
        <w:t xml:space="preserve">MPGA, and </w:t>
      </w:r>
      <w:r w:rsidRPr="005E0EAC">
        <w:t>the provincial government</w:t>
      </w:r>
      <w:r>
        <w:t>.</w:t>
      </w:r>
      <w:r w:rsidRPr="005E0EAC">
        <w:t xml:space="preserve">  </w:t>
      </w:r>
    </w:p>
    <w:p w:rsidR="0045579E" w:rsidRPr="00A537B8" w:rsidRDefault="0045579E" w:rsidP="0045579E">
      <w:pPr>
        <w:rPr>
          <w:b/>
          <w:sz w:val="22"/>
          <w:szCs w:val="22"/>
          <w:lang w:val="en"/>
        </w:rPr>
      </w:pPr>
    </w:p>
    <w:p w:rsidR="0045579E" w:rsidRDefault="0045579E" w:rsidP="0045579E">
      <w:pPr>
        <w:rPr>
          <w:b/>
          <w:lang w:val="en"/>
        </w:rPr>
      </w:pPr>
      <w:r>
        <w:rPr>
          <w:b/>
          <w:lang w:val="en"/>
        </w:rPr>
        <w:t>Benefits and Impacts on Pulse Growers:</w:t>
      </w:r>
    </w:p>
    <w:p w:rsidR="0045579E" w:rsidRDefault="0045579E" w:rsidP="0045579E">
      <w:pPr>
        <w:rPr>
          <w:lang w:val="en"/>
        </w:rPr>
      </w:pPr>
      <w:r>
        <w:rPr>
          <w:lang w:val="en"/>
        </w:rPr>
        <w:t xml:space="preserve">A viable food-grade soybean industry depends upon meeting the WHO limit of 200 ppb in all soybean sold for human consumption.  To add value to the soybean crop in Manitoba by capturing the high value food-grade market it is necessary that farms high in soil Cd concentration be identified, and low Cd varieties grown.  Animal manure, from a feed source high in Cd, will increase the soil Cd </w:t>
      </w:r>
      <w:proofErr w:type="gramStart"/>
      <w:r>
        <w:rPr>
          <w:lang w:val="en"/>
        </w:rPr>
        <w:t>concentration,</w:t>
      </w:r>
      <w:proofErr w:type="gramEnd"/>
      <w:r>
        <w:rPr>
          <w:lang w:val="en"/>
        </w:rPr>
        <w:t xml:space="preserve"> therefore, even feed soybean should be low Cd accumulators.</w:t>
      </w:r>
    </w:p>
    <w:p w:rsidR="0045579E" w:rsidRPr="009D10CD" w:rsidRDefault="0045579E" w:rsidP="00455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9D10CD">
        <w:rPr>
          <w:b/>
        </w:rPr>
        <w:t>Budget</w:t>
      </w:r>
    </w:p>
    <w:tbl>
      <w:tblPr>
        <w:tblW w:w="7488" w:type="dxa"/>
        <w:tblInd w:w="96" w:type="dxa"/>
        <w:tblLook w:val="0000" w:firstRow="0" w:lastRow="0" w:firstColumn="0" w:lastColumn="0" w:noHBand="0" w:noVBand="0"/>
      </w:tblPr>
      <w:tblGrid>
        <w:gridCol w:w="1291"/>
        <w:gridCol w:w="1077"/>
        <w:gridCol w:w="1077"/>
        <w:gridCol w:w="1077"/>
        <w:gridCol w:w="1526"/>
        <w:gridCol w:w="1440"/>
      </w:tblGrid>
      <w:tr w:rsidR="0045579E" w:rsidRPr="009D10CD" w:rsidTr="000E5250">
        <w:trPr>
          <w:trHeight w:val="264"/>
        </w:trPr>
        <w:tc>
          <w:tcPr>
            <w:tcW w:w="1291" w:type="dxa"/>
            <w:tcBorders>
              <w:top w:val="nil"/>
              <w:left w:val="nil"/>
              <w:bottom w:val="nil"/>
              <w:right w:val="nil"/>
            </w:tcBorders>
            <w:shd w:val="clear" w:color="auto" w:fill="auto"/>
            <w:noWrap/>
            <w:vAlign w:val="bottom"/>
          </w:tcPr>
          <w:p w:rsidR="0045579E" w:rsidRPr="009D10CD" w:rsidRDefault="0045579E" w:rsidP="0045579E">
            <w:pPr>
              <w:rPr>
                <w:u w:val="single"/>
              </w:rPr>
            </w:pPr>
          </w:p>
        </w:tc>
        <w:tc>
          <w:tcPr>
            <w:tcW w:w="1077" w:type="dxa"/>
            <w:tcBorders>
              <w:top w:val="nil"/>
              <w:left w:val="nil"/>
              <w:bottom w:val="nil"/>
              <w:right w:val="nil"/>
            </w:tcBorders>
            <w:shd w:val="clear" w:color="auto" w:fill="auto"/>
            <w:noWrap/>
            <w:vAlign w:val="bottom"/>
          </w:tcPr>
          <w:p w:rsidR="0045579E" w:rsidRPr="009D10CD" w:rsidRDefault="0045579E" w:rsidP="0045579E">
            <w:pPr>
              <w:rPr>
                <w:u w:val="single"/>
              </w:rPr>
            </w:pPr>
          </w:p>
        </w:tc>
        <w:tc>
          <w:tcPr>
            <w:tcW w:w="1077" w:type="dxa"/>
            <w:tcBorders>
              <w:top w:val="nil"/>
              <w:left w:val="nil"/>
              <w:bottom w:val="nil"/>
              <w:right w:val="nil"/>
            </w:tcBorders>
            <w:shd w:val="clear" w:color="auto" w:fill="auto"/>
            <w:noWrap/>
            <w:vAlign w:val="bottom"/>
          </w:tcPr>
          <w:p w:rsidR="0045579E" w:rsidRPr="009D10CD" w:rsidRDefault="0045579E" w:rsidP="0045579E">
            <w:pPr>
              <w:rPr>
                <w:u w:val="single"/>
              </w:rPr>
            </w:pPr>
          </w:p>
        </w:tc>
        <w:tc>
          <w:tcPr>
            <w:tcW w:w="1077" w:type="dxa"/>
            <w:tcBorders>
              <w:top w:val="nil"/>
              <w:left w:val="nil"/>
              <w:bottom w:val="nil"/>
              <w:right w:val="nil"/>
            </w:tcBorders>
            <w:shd w:val="clear" w:color="auto" w:fill="auto"/>
            <w:noWrap/>
            <w:vAlign w:val="bottom"/>
          </w:tcPr>
          <w:p w:rsidR="0045579E" w:rsidRPr="009D10CD" w:rsidRDefault="0045579E" w:rsidP="0045579E">
            <w:pPr>
              <w:rPr>
                <w:u w:val="single"/>
              </w:rPr>
            </w:pPr>
          </w:p>
        </w:tc>
        <w:tc>
          <w:tcPr>
            <w:tcW w:w="1526" w:type="dxa"/>
            <w:tcBorders>
              <w:top w:val="nil"/>
              <w:left w:val="nil"/>
              <w:bottom w:val="nil"/>
              <w:right w:val="nil"/>
            </w:tcBorders>
            <w:shd w:val="clear" w:color="auto" w:fill="auto"/>
            <w:noWrap/>
            <w:vAlign w:val="bottom"/>
          </w:tcPr>
          <w:p w:rsidR="0045579E" w:rsidRPr="009D10CD" w:rsidRDefault="0045579E" w:rsidP="0045579E">
            <w:pPr>
              <w:rPr>
                <w:u w:val="single"/>
              </w:rPr>
            </w:pPr>
            <w:r w:rsidRPr="009D10CD">
              <w:rPr>
                <w:u w:val="single"/>
              </w:rPr>
              <w:t>2011-2012</w:t>
            </w:r>
          </w:p>
        </w:tc>
        <w:tc>
          <w:tcPr>
            <w:tcW w:w="1440" w:type="dxa"/>
            <w:tcBorders>
              <w:top w:val="nil"/>
              <w:left w:val="nil"/>
              <w:bottom w:val="nil"/>
              <w:right w:val="nil"/>
            </w:tcBorders>
            <w:shd w:val="clear" w:color="auto" w:fill="auto"/>
            <w:noWrap/>
            <w:vAlign w:val="bottom"/>
          </w:tcPr>
          <w:p w:rsidR="0045579E" w:rsidRPr="009D10CD" w:rsidRDefault="0045579E" w:rsidP="0045579E">
            <w:pPr>
              <w:rPr>
                <w:u w:val="single"/>
              </w:rPr>
            </w:pPr>
            <w:r w:rsidRPr="009D10CD">
              <w:rPr>
                <w:u w:val="single"/>
              </w:rPr>
              <w:t>2012-2013</w:t>
            </w:r>
          </w:p>
        </w:tc>
      </w:tr>
      <w:tr w:rsidR="0045579E" w:rsidRPr="009D10CD" w:rsidTr="000E5250">
        <w:trPr>
          <w:trHeight w:val="264"/>
        </w:trPr>
        <w:tc>
          <w:tcPr>
            <w:tcW w:w="2368" w:type="dxa"/>
            <w:gridSpan w:val="2"/>
            <w:tcBorders>
              <w:top w:val="nil"/>
              <w:left w:val="nil"/>
              <w:bottom w:val="nil"/>
              <w:right w:val="nil"/>
            </w:tcBorders>
            <w:shd w:val="clear" w:color="auto" w:fill="auto"/>
            <w:noWrap/>
            <w:vAlign w:val="bottom"/>
          </w:tcPr>
          <w:p w:rsidR="0045579E" w:rsidRPr="009D10CD" w:rsidRDefault="0045579E" w:rsidP="0045579E">
            <w:smartTag w:uri="urn:schemas-microsoft-com:office:smarttags" w:element="stockticker">
              <w:r w:rsidRPr="009D10CD">
                <w:lastRenderedPageBreak/>
                <w:t>AAFC</w:t>
              </w:r>
            </w:smartTag>
            <w:r w:rsidRPr="009D10CD">
              <w:t xml:space="preserve"> A-base dollars</w:t>
            </w:r>
          </w:p>
        </w:tc>
        <w:tc>
          <w:tcPr>
            <w:tcW w:w="1077" w:type="dxa"/>
            <w:tcBorders>
              <w:top w:val="nil"/>
              <w:left w:val="nil"/>
              <w:bottom w:val="nil"/>
              <w:right w:val="nil"/>
            </w:tcBorders>
            <w:shd w:val="clear" w:color="auto" w:fill="auto"/>
            <w:noWrap/>
            <w:vAlign w:val="bottom"/>
          </w:tcPr>
          <w:p w:rsidR="0045579E" w:rsidRPr="009D10CD" w:rsidRDefault="0045579E" w:rsidP="0045579E"/>
        </w:tc>
        <w:tc>
          <w:tcPr>
            <w:tcW w:w="1077" w:type="dxa"/>
            <w:tcBorders>
              <w:top w:val="nil"/>
              <w:left w:val="nil"/>
              <w:bottom w:val="nil"/>
              <w:right w:val="nil"/>
            </w:tcBorders>
            <w:shd w:val="clear" w:color="auto" w:fill="auto"/>
            <w:noWrap/>
            <w:vAlign w:val="bottom"/>
          </w:tcPr>
          <w:p w:rsidR="0045579E" w:rsidRPr="009D10CD" w:rsidRDefault="0045579E" w:rsidP="0045579E"/>
        </w:tc>
        <w:tc>
          <w:tcPr>
            <w:tcW w:w="1526" w:type="dxa"/>
            <w:tcBorders>
              <w:top w:val="nil"/>
              <w:left w:val="nil"/>
              <w:bottom w:val="nil"/>
              <w:right w:val="nil"/>
            </w:tcBorders>
            <w:shd w:val="clear" w:color="auto" w:fill="auto"/>
            <w:noWrap/>
            <w:vAlign w:val="bottom"/>
          </w:tcPr>
          <w:p w:rsidR="0045579E" w:rsidRPr="009D10CD" w:rsidRDefault="0045579E" w:rsidP="0045579E">
            <w:r w:rsidRPr="009D10CD">
              <w:t>20,000.00</w:t>
            </w:r>
          </w:p>
        </w:tc>
        <w:tc>
          <w:tcPr>
            <w:tcW w:w="1440" w:type="dxa"/>
            <w:tcBorders>
              <w:top w:val="nil"/>
              <w:left w:val="nil"/>
              <w:bottom w:val="nil"/>
              <w:right w:val="nil"/>
            </w:tcBorders>
            <w:shd w:val="clear" w:color="auto" w:fill="auto"/>
            <w:noWrap/>
            <w:vAlign w:val="bottom"/>
          </w:tcPr>
          <w:p w:rsidR="0045579E" w:rsidRPr="009D10CD" w:rsidRDefault="0045579E" w:rsidP="0045579E">
            <w:r w:rsidRPr="009D10CD">
              <w:t>20,000.00</w:t>
            </w:r>
          </w:p>
        </w:tc>
      </w:tr>
      <w:tr w:rsidR="0045579E" w:rsidRPr="009D10CD" w:rsidTr="000E5250">
        <w:trPr>
          <w:trHeight w:val="264"/>
        </w:trPr>
        <w:tc>
          <w:tcPr>
            <w:tcW w:w="2368" w:type="dxa"/>
            <w:gridSpan w:val="2"/>
            <w:tcBorders>
              <w:top w:val="nil"/>
              <w:left w:val="nil"/>
              <w:bottom w:val="nil"/>
              <w:right w:val="nil"/>
            </w:tcBorders>
            <w:shd w:val="clear" w:color="auto" w:fill="auto"/>
            <w:noWrap/>
            <w:vAlign w:val="bottom"/>
          </w:tcPr>
          <w:p w:rsidR="0045579E" w:rsidRPr="009D10CD" w:rsidRDefault="0045579E" w:rsidP="0045579E">
            <w:smartTag w:uri="urn:schemas-microsoft-com:office:smarttags" w:element="stockticker">
              <w:r w:rsidRPr="009D10CD">
                <w:t>CGC</w:t>
              </w:r>
            </w:smartTag>
            <w:r w:rsidRPr="009D10CD">
              <w:t xml:space="preserve"> A-base dollars </w:t>
            </w:r>
          </w:p>
        </w:tc>
        <w:tc>
          <w:tcPr>
            <w:tcW w:w="1077" w:type="dxa"/>
            <w:tcBorders>
              <w:top w:val="nil"/>
              <w:left w:val="nil"/>
              <w:bottom w:val="nil"/>
              <w:right w:val="nil"/>
            </w:tcBorders>
            <w:shd w:val="clear" w:color="auto" w:fill="auto"/>
            <w:noWrap/>
            <w:vAlign w:val="bottom"/>
          </w:tcPr>
          <w:p w:rsidR="0045579E" w:rsidRPr="009D10CD" w:rsidRDefault="0045579E" w:rsidP="0045579E"/>
        </w:tc>
        <w:tc>
          <w:tcPr>
            <w:tcW w:w="1077" w:type="dxa"/>
            <w:tcBorders>
              <w:top w:val="nil"/>
              <w:left w:val="nil"/>
              <w:bottom w:val="nil"/>
              <w:right w:val="nil"/>
            </w:tcBorders>
            <w:shd w:val="clear" w:color="auto" w:fill="auto"/>
            <w:noWrap/>
            <w:vAlign w:val="bottom"/>
          </w:tcPr>
          <w:p w:rsidR="0045579E" w:rsidRPr="009D10CD" w:rsidRDefault="0045579E" w:rsidP="0045579E"/>
        </w:tc>
        <w:tc>
          <w:tcPr>
            <w:tcW w:w="1526" w:type="dxa"/>
            <w:tcBorders>
              <w:top w:val="nil"/>
              <w:left w:val="nil"/>
              <w:bottom w:val="nil"/>
              <w:right w:val="nil"/>
            </w:tcBorders>
            <w:shd w:val="clear" w:color="auto" w:fill="auto"/>
            <w:noWrap/>
            <w:vAlign w:val="bottom"/>
          </w:tcPr>
          <w:p w:rsidR="0045579E" w:rsidRPr="009D10CD" w:rsidRDefault="0045579E" w:rsidP="0045579E">
            <w:r w:rsidRPr="009D10CD">
              <w:t>6,000.00</w:t>
            </w:r>
          </w:p>
        </w:tc>
        <w:tc>
          <w:tcPr>
            <w:tcW w:w="1440" w:type="dxa"/>
            <w:tcBorders>
              <w:top w:val="nil"/>
              <w:left w:val="nil"/>
              <w:bottom w:val="nil"/>
              <w:right w:val="nil"/>
            </w:tcBorders>
            <w:shd w:val="clear" w:color="auto" w:fill="auto"/>
            <w:noWrap/>
            <w:vAlign w:val="bottom"/>
          </w:tcPr>
          <w:p w:rsidR="0045579E" w:rsidRPr="009D10CD" w:rsidRDefault="0045579E" w:rsidP="0045579E">
            <w:r w:rsidRPr="009D10CD">
              <w:t>6,000.00</w:t>
            </w:r>
          </w:p>
        </w:tc>
      </w:tr>
      <w:tr w:rsidR="0045579E" w:rsidRPr="009D10CD" w:rsidTr="000E5250">
        <w:trPr>
          <w:trHeight w:val="264"/>
        </w:trPr>
        <w:tc>
          <w:tcPr>
            <w:tcW w:w="1291" w:type="dxa"/>
            <w:tcBorders>
              <w:top w:val="nil"/>
              <w:left w:val="nil"/>
              <w:bottom w:val="nil"/>
              <w:right w:val="nil"/>
            </w:tcBorders>
            <w:shd w:val="clear" w:color="auto" w:fill="auto"/>
            <w:noWrap/>
            <w:vAlign w:val="bottom"/>
          </w:tcPr>
          <w:p w:rsidR="0045579E" w:rsidRPr="009D10CD" w:rsidRDefault="0045579E" w:rsidP="0045579E">
            <w:r w:rsidRPr="009D10CD">
              <w:t xml:space="preserve">Total </w:t>
            </w:r>
          </w:p>
        </w:tc>
        <w:tc>
          <w:tcPr>
            <w:tcW w:w="1077" w:type="dxa"/>
            <w:tcBorders>
              <w:top w:val="nil"/>
              <w:left w:val="nil"/>
              <w:bottom w:val="nil"/>
              <w:right w:val="nil"/>
            </w:tcBorders>
            <w:shd w:val="clear" w:color="auto" w:fill="auto"/>
            <w:noWrap/>
            <w:vAlign w:val="bottom"/>
          </w:tcPr>
          <w:p w:rsidR="0045579E" w:rsidRPr="009D10CD" w:rsidRDefault="0045579E" w:rsidP="0045579E"/>
        </w:tc>
        <w:tc>
          <w:tcPr>
            <w:tcW w:w="1077" w:type="dxa"/>
            <w:tcBorders>
              <w:top w:val="nil"/>
              <w:left w:val="nil"/>
              <w:bottom w:val="nil"/>
              <w:right w:val="nil"/>
            </w:tcBorders>
            <w:shd w:val="clear" w:color="auto" w:fill="auto"/>
            <w:noWrap/>
            <w:vAlign w:val="bottom"/>
          </w:tcPr>
          <w:p w:rsidR="0045579E" w:rsidRPr="009D10CD" w:rsidRDefault="0045579E" w:rsidP="0045579E"/>
        </w:tc>
        <w:tc>
          <w:tcPr>
            <w:tcW w:w="1077" w:type="dxa"/>
            <w:tcBorders>
              <w:top w:val="nil"/>
              <w:left w:val="nil"/>
              <w:bottom w:val="nil"/>
              <w:right w:val="nil"/>
            </w:tcBorders>
            <w:shd w:val="clear" w:color="auto" w:fill="auto"/>
            <w:noWrap/>
            <w:vAlign w:val="bottom"/>
          </w:tcPr>
          <w:p w:rsidR="0045579E" w:rsidRPr="009D10CD" w:rsidRDefault="0045579E" w:rsidP="0045579E"/>
        </w:tc>
        <w:tc>
          <w:tcPr>
            <w:tcW w:w="1526" w:type="dxa"/>
            <w:tcBorders>
              <w:top w:val="nil"/>
              <w:left w:val="nil"/>
              <w:bottom w:val="nil"/>
              <w:right w:val="nil"/>
            </w:tcBorders>
            <w:shd w:val="clear" w:color="auto" w:fill="auto"/>
            <w:noWrap/>
            <w:vAlign w:val="bottom"/>
          </w:tcPr>
          <w:p w:rsidR="0045579E" w:rsidRPr="009D10CD" w:rsidRDefault="0045579E" w:rsidP="0045579E">
            <w:r w:rsidRPr="009D10CD">
              <w:t>26,000.00</w:t>
            </w:r>
          </w:p>
        </w:tc>
        <w:tc>
          <w:tcPr>
            <w:tcW w:w="1440" w:type="dxa"/>
            <w:tcBorders>
              <w:top w:val="nil"/>
              <w:left w:val="nil"/>
              <w:bottom w:val="nil"/>
              <w:right w:val="nil"/>
            </w:tcBorders>
            <w:shd w:val="clear" w:color="auto" w:fill="auto"/>
            <w:noWrap/>
            <w:vAlign w:val="bottom"/>
          </w:tcPr>
          <w:p w:rsidR="0045579E" w:rsidRPr="009D10CD" w:rsidRDefault="0045579E" w:rsidP="0045579E">
            <w:r w:rsidRPr="009D10CD">
              <w:t>26,000.00</w:t>
            </w:r>
          </w:p>
        </w:tc>
      </w:tr>
      <w:tr w:rsidR="0045579E" w:rsidRPr="009D10CD" w:rsidTr="000E5250">
        <w:trPr>
          <w:trHeight w:val="264"/>
        </w:trPr>
        <w:tc>
          <w:tcPr>
            <w:tcW w:w="1291" w:type="dxa"/>
            <w:tcBorders>
              <w:top w:val="nil"/>
              <w:left w:val="nil"/>
              <w:bottom w:val="nil"/>
              <w:right w:val="nil"/>
            </w:tcBorders>
            <w:shd w:val="clear" w:color="auto" w:fill="auto"/>
            <w:noWrap/>
            <w:vAlign w:val="bottom"/>
          </w:tcPr>
          <w:p w:rsidR="0045579E" w:rsidRPr="009D10CD" w:rsidRDefault="0045579E" w:rsidP="0045579E"/>
        </w:tc>
        <w:tc>
          <w:tcPr>
            <w:tcW w:w="1077" w:type="dxa"/>
            <w:tcBorders>
              <w:top w:val="nil"/>
              <w:left w:val="nil"/>
              <w:bottom w:val="nil"/>
              <w:right w:val="nil"/>
            </w:tcBorders>
            <w:shd w:val="clear" w:color="auto" w:fill="auto"/>
            <w:noWrap/>
            <w:vAlign w:val="bottom"/>
          </w:tcPr>
          <w:p w:rsidR="0045579E" w:rsidRPr="009D10CD" w:rsidRDefault="0045579E" w:rsidP="0045579E"/>
        </w:tc>
        <w:tc>
          <w:tcPr>
            <w:tcW w:w="1077" w:type="dxa"/>
            <w:tcBorders>
              <w:top w:val="nil"/>
              <w:left w:val="nil"/>
              <w:bottom w:val="nil"/>
              <w:right w:val="nil"/>
            </w:tcBorders>
            <w:shd w:val="clear" w:color="auto" w:fill="auto"/>
            <w:noWrap/>
            <w:vAlign w:val="bottom"/>
          </w:tcPr>
          <w:p w:rsidR="0045579E" w:rsidRPr="009D10CD" w:rsidRDefault="0045579E" w:rsidP="0045579E"/>
        </w:tc>
        <w:tc>
          <w:tcPr>
            <w:tcW w:w="1077" w:type="dxa"/>
            <w:tcBorders>
              <w:top w:val="nil"/>
              <w:left w:val="nil"/>
              <w:bottom w:val="nil"/>
              <w:right w:val="nil"/>
            </w:tcBorders>
            <w:shd w:val="clear" w:color="auto" w:fill="auto"/>
            <w:noWrap/>
            <w:vAlign w:val="bottom"/>
          </w:tcPr>
          <w:p w:rsidR="0045579E" w:rsidRPr="009D10CD" w:rsidRDefault="0045579E" w:rsidP="0045579E"/>
        </w:tc>
        <w:tc>
          <w:tcPr>
            <w:tcW w:w="1526" w:type="dxa"/>
            <w:tcBorders>
              <w:top w:val="nil"/>
              <w:left w:val="nil"/>
              <w:bottom w:val="nil"/>
              <w:right w:val="nil"/>
            </w:tcBorders>
            <w:shd w:val="clear" w:color="auto" w:fill="auto"/>
            <w:noWrap/>
            <w:vAlign w:val="bottom"/>
          </w:tcPr>
          <w:p w:rsidR="0045579E" w:rsidRPr="009D10CD" w:rsidRDefault="0045579E" w:rsidP="0045579E"/>
        </w:tc>
        <w:tc>
          <w:tcPr>
            <w:tcW w:w="1440" w:type="dxa"/>
            <w:tcBorders>
              <w:top w:val="nil"/>
              <w:left w:val="nil"/>
              <w:bottom w:val="nil"/>
              <w:right w:val="nil"/>
            </w:tcBorders>
            <w:shd w:val="clear" w:color="auto" w:fill="auto"/>
            <w:noWrap/>
            <w:vAlign w:val="bottom"/>
          </w:tcPr>
          <w:p w:rsidR="0045579E" w:rsidRPr="009D10CD" w:rsidRDefault="0045579E" w:rsidP="0045579E"/>
        </w:tc>
      </w:tr>
      <w:tr w:rsidR="0045579E" w:rsidRPr="009D10CD" w:rsidTr="000E5250">
        <w:trPr>
          <w:trHeight w:val="264"/>
        </w:trPr>
        <w:tc>
          <w:tcPr>
            <w:tcW w:w="1291" w:type="dxa"/>
            <w:tcBorders>
              <w:top w:val="nil"/>
              <w:left w:val="nil"/>
              <w:bottom w:val="nil"/>
              <w:right w:val="nil"/>
            </w:tcBorders>
            <w:shd w:val="clear" w:color="auto" w:fill="auto"/>
            <w:noWrap/>
            <w:vAlign w:val="bottom"/>
          </w:tcPr>
          <w:p w:rsidR="0045579E" w:rsidRPr="009D10CD" w:rsidRDefault="0045579E" w:rsidP="0045579E"/>
        </w:tc>
        <w:tc>
          <w:tcPr>
            <w:tcW w:w="1077" w:type="dxa"/>
            <w:tcBorders>
              <w:top w:val="nil"/>
              <w:left w:val="nil"/>
              <w:bottom w:val="nil"/>
              <w:right w:val="nil"/>
            </w:tcBorders>
            <w:shd w:val="clear" w:color="auto" w:fill="auto"/>
            <w:noWrap/>
            <w:vAlign w:val="bottom"/>
          </w:tcPr>
          <w:p w:rsidR="0045579E" w:rsidRPr="009D10CD" w:rsidRDefault="0045579E" w:rsidP="0045579E"/>
        </w:tc>
        <w:tc>
          <w:tcPr>
            <w:tcW w:w="1077" w:type="dxa"/>
            <w:tcBorders>
              <w:top w:val="nil"/>
              <w:left w:val="nil"/>
              <w:bottom w:val="nil"/>
              <w:right w:val="nil"/>
            </w:tcBorders>
            <w:shd w:val="clear" w:color="auto" w:fill="auto"/>
            <w:noWrap/>
            <w:vAlign w:val="bottom"/>
          </w:tcPr>
          <w:p w:rsidR="0045579E" w:rsidRPr="009D10CD" w:rsidRDefault="0045579E" w:rsidP="0045579E"/>
        </w:tc>
        <w:tc>
          <w:tcPr>
            <w:tcW w:w="1077" w:type="dxa"/>
            <w:tcBorders>
              <w:top w:val="nil"/>
              <w:left w:val="nil"/>
              <w:bottom w:val="nil"/>
              <w:right w:val="nil"/>
            </w:tcBorders>
            <w:shd w:val="clear" w:color="auto" w:fill="auto"/>
            <w:noWrap/>
            <w:vAlign w:val="bottom"/>
          </w:tcPr>
          <w:p w:rsidR="0045579E" w:rsidRPr="009D10CD" w:rsidRDefault="0045579E" w:rsidP="0045579E"/>
        </w:tc>
        <w:tc>
          <w:tcPr>
            <w:tcW w:w="1526" w:type="dxa"/>
            <w:tcBorders>
              <w:top w:val="nil"/>
              <w:left w:val="nil"/>
              <w:bottom w:val="nil"/>
              <w:right w:val="nil"/>
            </w:tcBorders>
            <w:shd w:val="clear" w:color="auto" w:fill="auto"/>
            <w:noWrap/>
            <w:vAlign w:val="bottom"/>
          </w:tcPr>
          <w:p w:rsidR="0045579E" w:rsidRPr="009D10CD" w:rsidRDefault="0045579E" w:rsidP="0045579E"/>
        </w:tc>
        <w:tc>
          <w:tcPr>
            <w:tcW w:w="1440" w:type="dxa"/>
            <w:tcBorders>
              <w:top w:val="nil"/>
              <w:left w:val="nil"/>
              <w:bottom w:val="nil"/>
              <w:right w:val="nil"/>
            </w:tcBorders>
            <w:shd w:val="clear" w:color="auto" w:fill="auto"/>
            <w:noWrap/>
            <w:vAlign w:val="bottom"/>
          </w:tcPr>
          <w:p w:rsidR="0045579E" w:rsidRPr="009D10CD" w:rsidRDefault="0045579E" w:rsidP="0045579E"/>
        </w:tc>
      </w:tr>
      <w:tr w:rsidR="0045579E" w:rsidRPr="009D10CD" w:rsidTr="000E5250">
        <w:trPr>
          <w:trHeight w:val="264"/>
        </w:trPr>
        <w:tc>
          <w:tcPr>
            <w:tcW w:w="2368" w:type="dxa"/>
            <w:gridSpan w:val="2"/>
            <w:tcBorders>
              <w:top w:val="nil"/>
              <w:left w:val="nil"/>
              <w:bottom w:val="nil"/>
              <w:right w:val="nil"/>
            </w:tcBorders>
            <w:shd w:val="clear" w:color="auto" w:fill="auto"/>
            <w:noWrap/>
            <w:vAlign w:val="bottom"/>
          </w:tcPr>
          <w:p w:rsidR="0045579E" w:rsidRPr="009D10CD" w:rsidRDefault="0045579E" w:rsidP="0045579E">
            <w:pPr>
              <w:rPr>
                <w:u w:val="single"/>
              </w:rPr>
            </w:pPr>
            <w:r w:rsidRPr="009D10CD">
              <w:rPr>
                <w:u w:val="single"/>
              </w:rPr>
              <w:t>MPGA contribution</w:t>
            </w:r>
          </w:p>
        </w:tc>
        <w:tc>
          <w:tcPr>
            <w:tcW w:w="1077" w:type="dxa"/>
            <w:tcBorders>
              <w:top w:val="nil"/>
              <w:left w:val="nil"/>
              <w:bottom w:val="nil"/>
              <w:right w:val="nil"/>
            </w:tcBorders>
            <w:shd w:val="clear" w:color="auto" w:fill="auto"/>
            <w:noWrap/>
            <w:vAlign w:val="bottom"/>
          </w:tcPr>
          <w:p w:rsidR="0045579E" w:rsidRPr="009D10CD" w:rsidRDefault="0045579E" w:rsidP="0045579E"/>
        </w:tc>
        <w:tc>
          <w:tcPr>
            <w:tcW w:w="1077" w:type="dxa"/>
            <w:tcBorders>
              <w:top w:val="nil"/>
              <w:left w:val="nil"/>
              <w:bottom w:val="nil"/>
              <w:right w:val="nil"/>
            </w:tcBorders>
            <w:shd w:val="clear" w:color="auto" w:fill="auto"/>
            <w:noWrap/>
            <w:vAlign w:val="bottom"/>
          </w:tcPr>
          <w:p w:rsidR="0045579E" w:rsidRPr="009D10CD" w:rsidRDefault="0045579E" w:rsidP="0045579E"/>
        </w:tc>
        <w:tc>
          <w:tcPr>
            <w:tcW w:w="1526" w:type="dxa"/>
            <w:tcBorders>
              <w:top w:val="nil"/>
              <w:left w:val="nil"/>
              <w:bottom w:val="nil"/>
              <w:right w:val="nil"/>
            </w:tcBorders>
            <w:shd w:val="clear" w:color="auto" w:fill="auto"/>
            <w:noWrap/>
            <w:vAlign w:val="bottom"/>
          </w:tcPr>
          <w:p w:rsidR="0045579E" w:rsidRPr="009D10CD" w:rsidRDefault="0045579E" w:rsidP="0045579E"/>
        </w:tc>
        <w:tc>
          <w:tcPr>
            <w:tcW w:w="1440" w:type="dxa"/>
            <w:tcBorders>
              <w:top w:val="nil"/>
              <w:left w:val="nil"/>
              <w:bottom w:val="nil"/>
              <w:right w:val="nil"/>
            </w:tcBorders>
            <w:shd w:val="clear" w:color="auto" w:fill="auto"/>
            <w:noWrap/>
            <w:vAlign w:val="bottom"/>
          </w:tcPr>
          <w:p w:rsidR="0045579E" w:rsidRPr="009D10CD" w:rsidRDefault="0045579E" w:rsidP="0045579E"/>
        </w:tc>
      </w:tr>
      <w:tr w:rsidR="0045579E" w:rsidRPr="009D10CD" w:rsidTr="000E5250">
        <w:trPr>
          <w:trHeight w:val="264"/>
        </w:trPr>
        <w:tc>
          <w:tcPr>
            <w:tcW w:w="4522" w:type="dxa"/>
            <w:gridSpan w:val="4"/>
            <w:tcBorders>
              <w:top w:val="nil"/>
              <w:left w:val="nil"/>
              <w:bottom w:val="nil"/>
              <w:right w:val="nil"/>
            </w:tcBorders>
            <w:shd w:val="clear" w:color="auto" w:fill="auto"/>
            <w:noWrap/>
            <w:vAlign w:val="bottom"/>
          </w:tcPr>
          <w:p w:rsidR="0045579E" w:rsidRPr="009D10CD" w:rsidRDefault="0045579E" w:rsidP="0045579E">
            <w:smartTag w:uri="urn:schemas-microsoft-com:office:smarttags" w:element="State">
              <w:smartTag w:uri="urn:schemas-microsoft-com:office:smarttags" w:element="place">
                <w:r w:rsidRPr="009D10CD">
                  <w:t>Manitoba</w:t>
                </w:r>
              </w:smartTag>
            </w:smartTag>
            <w:r w:rsidRPr="009D10CD">
              <w:t xml:space="preserve"> Agricultural Consultant</w:t>
            </w:r>
          </w:p>
        </w:tc>
        <w:tc>
          <w:tcPr>
            <w:tcW w:w="1526" w:type="dxa"/>
            <w:tcBorders>
              <w:top w:val="nil"/>
              <w:left w:val="nil"/>
              <w:bottom w:val="nil"/>
              <w:right w:val="nil"/>
            </w:tcBorders>
            <w:shd w:val="clear" w:color="auto" w:fill="auto"/>
            <w:noWrap/>
            <w:vAlign w:val="bottom"/>
          </w:tcPr>
          <w:p w:rsidR="0045579E" w:rsidRPr="009D10CD" w:rsidRDefault="0045579E" w:rsidP="0045579E">
            <w:r w:rsidRPr="009D10CD">
              <w:t>17,250.00</w:t>
            </w:r>
          </w:p>
        </w:tc>
        <w:tc>
          <w:tcPr>
            <w:tcW w:w="1440" w:type="dxa"/>
            <w:tcBorders>
              <w:top w:val="nil"/>
              <w:left w:val="nil"/>
              <w:bottom w:val="nil"/>
              <w:right w:val="nil"/>
            </w:tcBorders>
            <w:shd w:val="clear" w:color="auto" w:fill="auto"/>
            <w:noWrap/>
            <w:vAlign w:val="bottom"/>
          </w:tcPr>
          <w:p w:rsidR="0045579E" w:rsidRPr="009D10CD" w:rsidRDefault="0045579E" w:rsidP="0045579E">
            <w:r w:rsidRPr="009D10CD">
              <w:t>17,250.00</w:t>
            </w:r>
          </w:p>
        </w:tc>
      </w:tr>
      <w:tr w:rsidR="0045579E" w:rsidRPr="009D10CD" w:rsidTr="000E5250">
        <w:trPr>
          <w:trHeight w:val="264"/>
        </w:trPr>
        <w:tc>
          <w:tcPr>
            <w:tcW w:w="4522" w:type="dxa"/>
            <w:gridSpan w:val="4"/>
            <w:tcBorders>
              <w:top w:val="nil"/>
              <w:left w:val="nil"/>
              <w:bottom w:val="nil"/>
              <w:right w:val="nil"/>
            </w:tcBorders>
            <w:shd w:val="clear" w:color="auto" w:fill="auto"/>
            <w:noWrap/>
            <w:vAlign w:val="bottom"/>
          </w:tcPr>
          <w:p w:rsidR="0045579E" w:rsidRPr="009D10CD" w:rsidRDefault="0045579E" w:rsidP="0045579E">
            <w:r w:rsidRPr="009D10CD">
              <w:t>Soil analysis @ 12.50 per sample</w:t>
            </w:r>
          </w:p>
        </w:tc>
        <w:tc>
          <w:tcPr>
            <w:tcW w:w="1526" w:type="dxa"/>
            <w:tcBorders>
              <w:top w:val="nil"/>
              <w:left w:val="nil"/>
              <w:bottom w:val="nil"/>
              <w:right w:val="nil"/>
            </w:tcBorders>
            <w:shd w:val="clear" w:color="auto" w:fill="auto"/>
            <w:noWrap/>
            <w:vAlign w:val="bottom"/>
          </w:tcPr>
          <w:p w:rsidR="0045579E" w:rsidRPr="009D10CD" w:rsidRDefault="0045579E" w:rsidP="0045579E">
            <w:r w:rsidRPr="009D10CD">
              <w:t>3,953.00</w:t>
            </w:r>
          </w:p>
        </w:tc>
        <w:tc>
          <w:tcPr>
            <w:tcW w:w="1440" w:type="dxa"/>
            <w:tcBorders>
              <w:top w:val="nil"/>
              <w:left w:val="nil"/>
              <w:bottom w:val="nil"/>
              <w:right w:val="nil"/>
            </w:tcBorders>
            <w:shd w:val="clear" w:color="auto" w:fill="auto"/>
            <w:noWrap/>
            <w:vAlign w:val="bottom"/>
          </w:tcPr>
          <w:p w:rsidR="0045579E" w:rsidRPr="009D10CD" w:rsidRDefault="0045579E" w:rsidP="0045579E">
            <w:r w:rsidRPr="009D10CD">
              <w:t>3,953.00</w:t>
            </w:r>
          </w:p>
        </w:tc>
      </w:tr>
      <w:tr w:rsidR="0045579E" w:rsidRPr="009D10CD" w:rsidTr="000E5250">
        <w:trPr>
          <w:trHeight w:val="264"/>
        </w:trPr>
        <w:tc>
          <w:tcPr>
            <w:tcW w:w="4522" w:type="dxa"/>
            <w:gridSpan w:val="4"/>
            <w:tcBorders>
              <w:top w:val="nil"/>
              <w:left w:val="nil"/>
              <w:bottom w:val="nil"/>
              <w:right w:val="nil"/>
            </w:tcBorders>
            <w:shd w:val="clear" w:color="auto" w:fill="auto"/>
            <w:noWrap/>
            <w:vAlign w:val="bottom"/>
          </w:tcPr>
          <w:p w:rsidR="0045579E" w:rsidRPr="009D10CD" w:rsidRDefault="0045579E" w:rsidP="0045579E">
            <w:r w:rsidRPr="009D10CD">
              <w:t>Seed analysis @ 12.50 per sample</w:t>
            </w:r>
          </w:p>
        </w:tc>
        <w:tc>
          <w:tcPr>
            <w:tcW w:w="1526" w:type="dxa"/>
            <w:tcBorders>
              <w:top w:val="nil"/>
              <w:left w:val="nil"/>
              <w:bottom w:val="nil"/>
              <w:right w:val="nil"/>
            </w:tcBorders>
            <w:shd w:val="clear" w:color="auto" w:fill="auto"/>
            <w:noWrap/>
            <w:vAlign w:val="bottom"/>
          </w:tcPr>
          <w:p w:rsidR="0045579E" w:rsidRPr="009D10CD" w:rsidRDefault="0045579E" w:rsidP="0045579E">
            <w:r w:rsidRPr="009D10CD">
              <w:t>3,953.00</w:t>
            </w:r>
          </w:p>
        </w:tc>
        <w:tc>
          <w:tcPr>
            <w:tcW w:w="1440" w:type="dxa"/>
            <w:tcBorders>
              <w:top w:val="nil"/>
              <w:left w:val="nil"/>
              <w:bottom w:val="nil"/>
              <w:right w:val="nil"/>
            </w:tcBorders>
            <w:shd w:val="clear" w:color="auto" w:fill="auto"/>
            <w:noWrap/>
            <w:vAlign w:val="bottom"/>
          </w:tcPr>
          <w:p w:rsidR="0045579E" w:rsidRPr="009D10CD" w:rsidRDefault="0045579E" w:rsidP="0045579E">
            <w:r w:rsidRPr="009D10CD">
              <w:t>3,953.00</w:t>
            </w:r>
          </w:p>
        </w:tc>
      </w:tr>
      <w:tr w:rsidR="0045579E" w:rsidRPr="009D10CD" w:rsidTr="000E5250">
        <w:trPr>
          <w:trHeight w:val="264"/>
        </w:trPr>
        <w:tc>
          <w:tcPr>
            <w:tcW w:w="1291" w:type="dxa"/>
            <w:tcBorders>
              <w:top w:val="nil"/>
              <w:left w:val="nil"/>
              <w:bottom w:val="nil"/>
              <w:right w:val="nil"/>
            </w:tcBorders>
            <w:shd w:val="clear" w:color="auto" w:fill="auto"/>
            <w:noWrap/>
            <w:vAlign w:val="bottom"/>
          </w:tcPr>
          <w:p w:rsidR="0045579E" w:rsidRPr="009D10CD" w:rsidRDefault="0045579E" w:rsidP="0045579E">
            <w:r w:rsidRPr="009D10CD">
              <w:t>Shipping</w:t>
            </w:r>
          </w:p>
        </w:tc>
        <w:tc>
          <w:tcPr>
            <w:tcW w:w="1077" w:type="dxa"/>
            <w:tcBorders>
              <w:top w:val="nil"/>
              <w:left w:val="nil"/>
              <w:bottom w:val="nil"/>
              <w:right w:val="nil"/>
            </w:tcBorders>
            <w:shd w:val="clear" w:color="auto" w:fill="auto"/>
            <w:noWrap/>
            <w:vAlign w:val="bottom"/>
          </w:tcPr>
          <w:p w:rsidR="0045579E" w:rsidRPr="009D10CD" w:rsidRDefault="0045579E" w:rsidP="0045579E"/>
        </w:tc>
        <w:tc>
          <w:tcPr>
            <w:tcW w:w="1077" w:type="dxa"/>
            <w:tcBorders>
              <w:top w:val="nil"/>
              <w:left w:val="nil"/>
              <w:bottom w:val="nil"/>
              <w:right w:val="nil"/>
            </w:tcBorders>
            <w:shd w:val="clear" w:color="auto" w:fill="auto"/>
            <w:noWrap/>
            <w:vAlign w:val="bottom"/>
          </w:tcPr>
          <w:p w:rsidR="0045579E" w:rsidRPr="009D10CD" w:rsidRDefault="0045579E" w:rsidP="0045579E"/>
        </w:tc>
        <w:tc>
          <w:tcPr>
            <w:tcW w:w="1077" w:type="dxa"/>
            <w:tcBorders>
              <w:top w:val="nil"/>
              <w:left w:val="nil"/>
              <w:bottom w:val="nil"/>
              <w:right w:val="nil"/>
            </w:tcBorders>
            <w:shd w:val="clear" w:color="auto" w:fill="auto"/>
            <w:noWrap/>
            <w:vAlign w:val="bottom"/>
          </w:tcPr>
          <w:p w:rsidR="0045579E" w:rsidRPr="009D10CD" w:rsidRDefault="0045579E" w:rsidP="0045579E"/>
        </w:tc>
        <w:tc>
          <w:tcPr>
            <w:tcW w:w="1526" w:type="dxa"/>
            <w:tcBorders>
              <w:top w:val="nil"/>
              <w:left w:val="nil"/>
              <w:bottom w:val="nil"/>
              <w:right w:val="nil"/>
            </w:tcBorders>
            <w:shd w:val="clear" w:color="auto" w:fill="auto"/>
            <w:noWrap/>
            <w:vAlign w:val="bottom"/>
          </w:tcPr>
          <w:p w:rsidR="0045579E" w:rsidRPr="009D10CD" w:rsidRDefault="0045579E" w:rsidP="0045579E">
            <w:r w:rsidRPr="009D10CD">
              <w:t>1,380.00</w:t>
            </w:r>
          </w:p>
        </w:tc>
        <w:tc>
          <w:tcPr>
            <w:tcW w:w="1440" w:type="dxa"/>
            <w:tcBorders>
              <w:top w:val="nil"/>
              <w:left w:val="nil"/>
              <w:bottom w:val="nil"/>
              <w:right w:val="nil"/>
            </w:tcBorders>
            <w:shd w:val="clear" w:color="auto" w:fill="auto"/>
            <w:noWrap/>
            <w:vAlign w:val="bottom"/>
          </w:tcPr>
          <w:p w:rsidR="0045579E" w:rsidRPr="009D10CD" w:rsidRDefault="0045579E" w:rsidP="0045579E">
            <w:r w:rsidRPr="009D10CD">
              <w:t>1,380.00</w:t>
            </w:r>
          </w:p>
        </w:tc>
      </w:tr>
      <w:tr w:rsidR="0045579E" w:rsidRPr="009D10CD" w:rsidTr="000E5250">
        <w:trPr>
          <w:trHeight w:val="264"/>
        </w:trPr>
        <w:tc>
          <w:tcPr>
            <w:tcW w:w="3445" w:type="dxa"/>
            <w:gridSpan w:val="3"/>
            <w:tcBorders>
              <w:top w:val="single" w:sz="4" w:space="0" w:color="auto"/>
              <w:left w:val="nil"/>
              <w:bottom w:val="single" w:sz="4" w:space="0" w:color="auto"/>
              <w:right w:val="nil"/>
            </w:tcBorders>
            <w:shd w:val="clear" w:color="auto" w:fill="auto"/>
            <w:noWrap/>
            <w:vAlign w:val="bottom"/>
          </w:tcPr>
          <w:p w:rsidR="0045579E" w:rsidRPr="009D10CD" w:rsidRDefault="0045579E" w:rsidP="0045579E">
            <w:r w:rsidRPr="009D10CD">
              <w:t>Total MPGA contribution</w:t>
            </w:r>
          </w:p>
        </w:tc>
        <w:tc>
          <w:tcPr>
            <w:tcW w:w="1077" w:type="dxa"/>
            <w:tcBorders>
              <w:top w:val="single" w:sz="4" w:space="0" w:color="auto"/>
              <w:left w:val="nil"/>
              <w:bottom w:val="single" w:sz="4" w:space="0" w:color="auto"/>
              <w:right w:val="nil"/>
            </w:tcBorders>
            <w:shd w:val="clear" w:color="auto" w:fill="auto"/>
            <w:noWrap/>
            <w:vAlign w:val="bottom"/>
          </w:tcPr>
          <w:p w:rsidR="0045579E" w:rsidRPr="009D10CD" w:rsidRDefault="0045579E" w:rsidP="0045579E">
            <w:r w:rsidRPr="009D10CD">
              <w:t> </w:t>
            </w:r>
          </w:p>
        </w:tc>
        <w:tc>
          <w:tcPr>
            <w:tcW w:w="1526" w:type="dxa"/>
            <w:tcBorders>
              <w:top w:val="single" w:sz="4" w:space="0" w:color="auto"/>
              <w:left w:val="nil"/>
              <w:bottom w:val="single" w:sz="4" w:space="0" w:color="auto"/>
              <w:right w:val="nil"/>
            </w:tcBorders>
            <w:shd w:val="clear" w:color="auto" w:fill="auto"/>
            <w:noWrap/>
            <w:vAlign w:val="bottom"/>
          </w:tcPr>
          <w:p w:rsidR="0045579E" w:rsidRPr="009D10CD" w:rsidRDefault="0045579E" w:rsidP="0045579E">
            <w:r w:rsidRPr="009D10CD">
              <w:t>26,536.00</w:t>
            </w:r>
          </w:p>
        </w:tc>
        <w:tc>
          <w:tcPr>
            <w:tcW w:w="1440" w:type="dxa"/>
            <w:tcBorders>
              <w:top w:val="single" w:sz="4" w:space="0" w:color="auto"/>
              <w:left w:val="nil"/>
              <w:bottom w:val="single" w:sz="4" w:space="0" w:color="auto"/>
              <w:right w:val="nil"/>
            </w:tcBorders>
            <w:shd w:val="clear" w:color="auto" w:fill="auto"/>
            <w:noWrap/>
            <w:vAlign w:val="bottom"/>
          </w:tcPr>
          <w:p w:rsidR="0045579E" w:rsidRPr="009D10CD" w:rsidRDefault="0045579E" w:rsidP="0045579E">
            <w:r w:rsidRPr="009D10CD">
              <w:t>26,536.00</w:t>
            </w:r>
          </w:p>
        </w:tc>
      </w:tr>
      <w:tr w:rsidR="0045579E" w:rsidRPr="009D10CD" w:rsidTr="000E5250">
        <w:trPr>
          <w:trHeight w:val="264"/>
        </w:trPr>
        <w:tc>
          <w:tcPr>
            <w:tcW w:w="1291" w:type="dxa"/>
            <w:tcBorders>
              <w:top w:val="nil"/>
              <w:left w:val="nil"/>
              <w:bottom w:val="nil"/>
              <w:right w:val="nil"/>
            </w:tcBorders>
            <w:shd w:val="clear" w:color="auto" w:fill="auto"/>
            <w:noWrap/>
            <w:vAlign w:val="bottom"/>
          </w:tcPr>
          <w:p w:rsidR="0045579E" w:rsidRPr="009D10CD" w:rsidRDefault="0045579E" w:rsidP="0045579E"/>
        </w:tc>
        <w:tc>
          <w:tcPr>
            <w:tcW w:w="1077" w:type="dxa"/>
            <w:tcBorders>
              <w:top w:val="nil"/>
              <w:left w:val="nil"/>
              <w:bottom w:val="nil"/>
              <w:right w:val="nil"/>
            </w:tcBorders>
            <w:shd w:val="clear" w:color="auto" w:fill="auto"/>
            <w:noWrap/>
            <w:vAlign w:val="bottom"/>
          </w:tcPr>
          <w:p w:rsidR="0045579E" w:rsidRPr="009D10CD" w:rsidRDefault="0045579E" w:rsidP="0045579E"/>
        </w:tc>
        <w:tc>
          <w:tcPr>
            <w:tcW w:w="1077" w:type="dxa"/>
            <w:tcBorders>
              <w:top w:val="nil"/>
              <w:left w:val="nil"/>
              <w:bottom w:val="nil"/>
              <w:right w:val="nil"/>
            </w:tcBorders>
            <w:shd w:val="clear" w:color="auto" w:fill="auto"/>
            <w:noWrap/>
            <w:vAlign w:val="bottom"/>
          </w:tcPr>
          <w:p w:rsidR="0045579E" w:rsidRPr="009D10CD" w:rsidRDefault="0045579E" w:rsidP="0045579E"/>
        </w:tc>
        <w:tc>
          <w:tcPr>
            <w:tcW w:w="1077" w:type="dxa"/>
            <w:tcBorders>
              <w:top w:val="nil"/>
              <w:left w:val="nil"/>
              <w:bottom w:val="nil"/>
              <w:right w:val="nil"/>
            </w:tcBorders>
            <w:shd w:val="clear" w:color="auto" w:fill="auto"/>
            <w:noWrap/>
            <w:vAlign w:val="bottom"/>
          </w:tcPr>
          <w:p w:rsidR="0045579E" w:rsidRPr="009D10CD" w:rsidRDefault="0045579E" w:rsidP="0045579E"/>
        </w:tc>
        <w:tc>
          <w:tcPr>
            <w:tcW w:w="1526" w:type="dxa"/>
            <w:tcBorders>
              <w:top w:val="nil"/>
              <w:left w:val="nil"/>
              <w:bottom w:val="nil"/>
              <w:right w:val="nil"/>
            </w:tcBorders>
            <w:shd w:val="clear" w:color="auto" w:fill="auto"/>
            <w:noWrap/>
            <w:vAlign w:val="bottom"/>
          </w:tcPr>
          <w:p w:rsidR="0045579E" w:rsidRPr="009D10CD" w:rsidRDefault="0045579E" w:rsidP="0045579E"/>
        </w:tc>
        <w:tc>
          <w:tcPr>
            <w:tcW w:w="1440" w:type="dxa"/>
            <w:tcBorders>
              <w:top w:val="nil"/>
              <w:left w:val="nil"/>
              <w:bottom w:val="nil"/>
              <w:right w:val="nil"/>
            </w:tcBorders>
            <w:shd w:val="clear" w:color="auto" w:fill="auto"/>
            <w:noWrap/>
            <w:vAlign w:val="bottom"/>
          </w:tcPr>
          <w:p w:rsidR="0045579E" w:rsidRPr="009D10CD" w:rsidRDefault="0045579E" w:rsidP="0045579E"/>
        </w:tc>
      </w:tr>
      <w:tr w:rsidR="0045579E" w:rsidRPr="009D10CD" w:rsidTr="000E5250">
        <w:trPr>
          <w:trHeight w:val="264"/>
        </w:trPr>
        <w:tc>
          <w:tcPr>
            <w:tcW w:w="4522" w:type="dxa"/>
            <w:gridSpan w:val="4"/>
            <w:tcBorders>
              <w:top w:val="nil"/>
              <w:left w:val="nil"/>
              <w:bottom w:val="nil"/>
              <w:right w:val="nil"/>
            </w:tcBorders>
            <w:shd w:val="clear" w:color="auto" w:fill="auto"/>
            <w:noWrap/>
            <w:vAlign w:val="bottom"/>
          </w:tcPr>
          <w:p w:rsidR="0045579E" w:rsidRPr="009D10CD" w:rsidRDefault="0045579E" w:rsidP="0045579E">
            <w:r w:rsidRPr="009D10CD">
              <w:t>Total Project costs (MPGA +</w:t>
            </w:r>
            <w:smartTag w:uri="urn:schemas-microsoft-com:office:smarttags" w:element="stockticker">
              <w:r w:rsidRPr="009D10CD">
                <w:t>AAFC</w:t>
              </w:r>
            </w:smartTag>
            <w:r w:rsidRPr="009D10CD">
              <w:t xml:space="preserve">+ </w:t>
            </w:r>
            <w:smartTag w:uri="urn:schemas-microsoft-com:office:smarttags" w:element="stockticker">
              <w:r w:rsidRPr="009D10CD">
                <w:t>CGC</w:t>
              </w:r>
            </w:smartTag>
            <w:r w:rsidRPr="009D10CD">
              <w:t>)</w:t>
            </w:r>
          </w:p>
        </w:tc>
        <w:tc>
          <w:tcPr>
            <w:tcW w:w="1526" w:type="dxa"/>
            <w:tcBorders>
              <w:top w:val="nil"/>
              <w:left w:val="nil"/>
              <w:bottom w:val="nil"/>
              <w:right w:val="nil"/>
            </w:tcBorders>
            <w:shd w:val="clear" w:color="auto" w:fill="auto"/>
            <w:noWrap/>
            <w:vAlign w:val="bottom"/>
          </w:tcPr>
          <w:p w:rsidR="0045579E" w:rsidRPr="009D10CD" w:rsidRDefault="0045579E" w:rsidP="0045579E">
            <w:r w:rsidRPr="009D10CD">
              <w:t>52,536.00</w:t>
            </w:r>
          </w:p>
        </w:tc>
        <w:tc>
          <w:tcPr>
            <w:tcW w:w="1440" w:type="dxa"/>
            <w:tcBorders>
              <w:top w:val="nil"/>
              <w:left w:val="nil"/>
              <w:bottom w:val="nil"/>
              <w:right w:val="nil"/>
            </w:tcBorders>
            <w:shd w:val="clear" w:color="auto" w:fill="auto"/>
            <w:noWrap/>
            <w:vAlign w:val="bottom"/>
          </w:tcPr>
          <w:p w:rsidR="0045579E" w:rsidRPr="009D10CD" w:rsidRDefault="0045579E" w:rsidP="0045579E">
            <w:r w:rsidRPr="009D10CD">
              <w:t>52,536.00</w:t>
            </w:r>
          </w:p>
        </w:tc>
      </w:tr>
      <w:tr w:rsidR="0045579E" w:rsidRPr="009D10CD" w:rsidTr="000E5250">
        <w:trPr>
          <w:trHeight w:val="264"/>
        </w:trPr>
        <w:tc>
          <w:tcPr>
            <w:tcW w:w="1291" w:type="dxa"/>
            <w:tcBorders>
              <w:top w:val="nil"/>
              <w:left w:val="nil"/>
              <w:bottom w:val="nil"/>
              <w:right w:val="nil"/>
            </w:tcBorders>
            <w:shd w:val="clear" w:color="auto" w:fill="auto"/>
            <w:noWrap/>
            <w:vAlign w:val="bottom"/>
          </w:tcPr>
          <w:p w:rsidR="0045579E" w:rsidRPr="009D10CD" w:rsidRDefault="0045579E" w:rsidP="0045579E"/>
        </w:tc>
        <w:tc>
          <w:tcPr>
            <w:tcW w:w="1077" w:type="dxa"/>
            <w:tcBorders>
              <w:top w:val="nil"/>
              <w:left w:val="nil"/>
              <w:bottom w:val="nil"/>
              <w:right w:val="nil"/>
            </w:tcBorders>
            <w:shd w:val="clear" w:color="auto" w:fill="auto"/>
            <w:noWrap/>
            <w:vAlign w:val="bottom"/>
          </w:tcPr>
          <w:p w:rsidR="0045579E" w:rsidRPr="009D10CD" w:rsidRDefault="0045579E" w:rsidP="0045579E"/>
        </w:tc>
        <w:tc>
          <w:tcPr>
            <w:tcW w:w="1077" w:type="dxa"/>
            <w:tcBorders>
              <w:top w:val="nil"/>
              <w:left w:val="nil"/>
              <w:bottom w:val="nil"/>
              <w:right w:val="nil"/>
            </w:tcBorders>
            <w:shd w:val="clear" w:color="auto" w:fill="auto"/>
            <w:noWrap/>
            <w:vAlign w:val="bottom"/>
          </w:tcPr>
          <w:p w:rsidR="0045579E" w:rsidRPr="009D10CD" w:rsidRDefault="0045579E" w:rsidP="0045579E"/>
        </w:tc>
        <w:tc>
          <w:tcPr>
            <w:tcW w:w="1077" w:type="dxa"/>
            <w:tcBorders>
              <w:top w:val="nil"/>
              <w:left w:val="nil"/>
              <w:bottom w:val="nil"/>
              <w:right w:val="nil"/>
            </w:tcBorders>
            <w:shd w:val="clear" w:color="auto" w:fill="auto"/>
            <w:noWrap/>
            <w:vAlign w:val="bottom"/>
          </w:tcPr>
          <w:p w:rsidR="0045579E" w:rsidRPr="009D10CD" w:rsidRDefault="0045579E" w:rsidP="0045579E"/>
        </w:tc>
        <w:tc>
          <w:tcPr>
            <w:tcW w:w="1526" w:type="dxa"/>
            <w:tcBorders>
              <w:top w:val="nil"/>
              <w:left w:val="nil"/>
              <w:bottom w:val="nil"/>
              <w:right w:val="nil"/>
            </w:tcBorders>
            <w:shd w:val="clear" w:color="auto" w:fill="auto"/>
            <w:noWrap/>
            <w:vAlign w:val="bottom"/>
          </w:tcPr>
          <w:p w:rsidR="0045579E" w:rsidRPr="009D10CD" w:rsidRDefault="0045579E" w:rsidP="0045579E"/>
        </w:tc>
        <w:tc>
          <w:tcPr>
            <w:tcW w:w="1440" w:type="dxa"/>
            <w:tcBorders>
              <w:top w:val="nil"/>
              <w:left w:val="nil"/>
              <w:bottom w:val="nil"/>
              <w:right w:val="nil"/>
            </w:tcBorders>
            <w:shd w:val="clear" w:color="auto" w:fill="auto"/>
            <w:noWrap/>
            <w:vAlign w:val="bottom"/>
          </w:tcPr>
          <w:p w:rsidR="0045579E" w:rsidRPr="009D10CD" w:rsidRDefault="0045579E" w:rsidP="0045579E"/>
        </w:tc>
      </w:tr>
      <w:tr w:rsidR="0045579E" w:rsidRPr="009D10CD" w:rsidTr="000E5250">
        <w:trPr>
          <w:trHeight w:val="264"/>
        </w:trPr>
        <w:tc>
          <w:tcPr>
            <w:tcW w:w="3445" w:type="dxa"/>
            <w:gridSpan w:val="3"/>
            <w:tcBorders>
              <w:top w:val="nil"/>
              <w:left w:val="nil"/>
              <w:bottom w:val="nil"/>
              <w:right w:val="nil"/>
            </w:tcBorders>
            <w:shd w:val="clear" w:color="auto" w:fill="auto"/>
            <w:noWrap/>
            <w:vAlign w:val="bottom"/>
          </w:tcPr>
          <w:p w:rsidR="0045579E" w:rsidRPr="009D10CD" w:rsidRDefault="0045579E" w:rsidP="0045579E">
            <w:pPr>
              <w:rPr>
                <w:u w:val="single"/>
              </w:rPr>
            </w:pPr>
            <w:r w:rsidRPr="009D10CD">
              <w:rPr>
                <w:u w:val="single"/>
              </w:rPr>
              <w:t>MPGA two year contribution</w:t>
            </w:r>
          </w:p>
        </w:tc>
        <w:tc>
          <w:tcPr>
            <w:tcW w:w="1077" w:type="dxa"/>
            <w:tcBorders>
              <w:top w:val="nil"/>
              <w:left w:val="nil"/>
              <w:bottom w:val="nil"/>
              <w:right w:val="nil"/>
            </w:tcBorders>
            <w:shd w:val="clear" w:color="auto" w:fill="auto"/>
            <w:noWrap/>
            <w:vAlign w:val="bottom"/>
          </w:tcPr>
          <w:p w:rsidR="0045579E" w:rsidRPr="009D10CD" w:rsidRDefault="0045579E" w:rsidP="0045579E">
            <w:pPr>
              <w:rPr>
                <w:u w:val="single"/>
              </w:rPr>
            </w:pPr>
          </w:p>
        </w:tc>
        <w:tc>
          <w:tcPr>
            <w:tcW w:w="1526" w:type="dxa"/>
            <w:tcBorders>
              <w:top w:val="nil"/>
              <w:left w:val="nil"/>
              <w:bottom w:val="nil"/>
              <w:right w:val="nil"/>
            </w:tcBorders>
            <w:shd w:val="clear" w:color="auto" w:fill="auto"/>
            <w:noWrap/>
            <w:vAlign w:val="bottom"/>
          </w:tcPr>
          <w:p w:rsidR="0045579E" w:rsidRPr="009D10CD" w:rsidRDefault="0045579E" w:rsidP="0045579E">
            <w:pPr>
              <w:rPr>
                <w:u w:val="single"/>
              </w:rPr>
            </w:pPr>
            <w:r w:rsidRPr="009D10CD">
              <w:rPr>
                <w:u w:val="single"/>
              </w:rPr>
              <w:t>53,072.00</w:t>
            </w:r>
          </w:p>
        </w:tc>
        <w:tc>
          <w:tcPr>
            <w:tcW w:w="1440" w:type="dxa"/>
            <w:tcBorders>
              <w:top w:val="nil"/>
              <w:left w:val="nil"/>
              <w:bottom w:val="nil"/>
              <w:right w:val="nil"/>
            </w:tcBorders>
            <w:shd w:val="clear" w:color="auto" w:fill="auto"/>
            <w:noWrap/>
            <w:vAlign w:val="bottom"/>
          </w:tcPr>
          <w:p w:rsidR="0045579E" w:rsidRDefault="0045579E" w:rsidP="0045579E"/>
          <w:p w:rsidR="0045579E" w:rsidRPr="009D10CD" w:rsidRDefault="0045579E" w:rsidP="0045579E"/>
        </w:tc>
      </w:tr>
    </w:tbl>
    <w:p w:rsidR="0045579E" w:rsidRDefault="0045579E" w:rsidP="00455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5579E" w:rsidRDefault="0045579E" w:rsidP="00455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9D10CD">
        <w:rPr>
          <w:b/>
        </w:rPr>
        <w:t>Communications plan</w:t>
      </w:r>
    </w:p>
    <w:p w:rsidR="0045579E" w:rsidRDefault="0045579E" w:rsidP="00455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It is very important to communicate to Manitoba soybean producers that in some regions of the province the soybean varieties that they are growing may have the potential to accumulate a large amount of Cd in the seed.  Many nations, interested in importing soybean from Manitoba, will be very interested in learning that the MPGA is proactively pursuing a plan to ensure that all food quality soybean produced in Manitoba have a low concentration of seed Cd.  It is important that the province, the industry and the growers are on the same page when these proactive steps at reducing Cd are announced.  Communication will be in the form of reports to MPGA.  Data will be published in the scientific literature when appropriate. </w:t>
      </w:r>
    </w:p>
    <w:p w:rsidR="001D20C3" w:rsidRDefault="001D20C3" w:rsidP="001D20C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object w:dxaOrig="5232" w:dyaOrig="3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6pt;height:331.8pt" o:ole="">
            <v:imagedata r:id="rId11" o:title=""/>
          </v:shape>
          <o:OLEObject Type="Embed" ProgID="SigmaPlotGraphicObject.11" ShapeID="_x0000_i1026" DrawAspect="Content" ObjectID="_1417507287" r:id="rId12"/>
        </w:object>
      </w:r>
    </w:p>
    <w:p w:rsidR="001D20C3" w:rsidRPr="001D20C3" w:rsidRDefault="001D20C3" w:rsidP="001D20C3">
      <w:pPr>
        <w:pStyle w:val="Caption"/>
        <w:rPr>
          <w:rFonts w:asciiTheme="minorHAnsi" w:hAnsiTheme="minorHAnsi" w:cs="Arial"/>
          <w:b w:val="0"/>
          <w:sz w:val="28"/>
          <w:szCs w:val="28"/>
        </w:rPr>
      </w:pPr>
      <w:proofErr w:type="gramStart"/>
      <w:r w:rsidRPr="001D20C3">
        <w:rPr>
          <w:rFonts w:asciiTheme="minorHAnsi" w:hAnsiTheme="minorHAnsi"/>
          <w:b w:val="0"/>
          <w:sz w:val="28"/>
          <w:szCs w:val="28"/>
        </w:rPr>
        <w:t xml:space="preserve">Figure </w:t>
      </w:r>
      <w:r w:rsidRPr="001D20C3">
        <w:rPr>
          <w:rFonts w:asciiTheme="minorHAnsi" w:hAnsiTheme="minorHAnsi"/>
          <w:b w:val="0"/>
          <w:sz w:val="28"/>
          <w:szCs w:val="28"/>
        </w:rPr>
        <w:fldChar w:fldCharType="begin"/>
      </w:r>
      <w:r w:rsidRPr="001D20C3">
        <w:rPr>
          <w:rFonts w:asciiTheme="minorHAnsi" w:hAnsiTheme="minorHAnsi"/>
          <w:b w:val="0"/>
          <w:sz w:val="28"/>
          <w:szCs w:val="28"/>
        </w:rPr>
        <w:instrText xml:space="preserve"> SEQ Figure \* ARABIC </w:instrText>
      </w:r>
      <w:r w:rsidRPr="001D20C3">
        <w:rPr>
          <w:rFonts w:asciiTheme="minorHAnsi" w:hAnsiTheme="minorHAnsi"/>
          <w:b w:val="0"/>
          <w:sz w:val="28"/>
          <w:szCs w:val="28"/>
        </w:rPr>
        <w:fldChar w:fldCharType="separate"/>
      </w:r>
      <w:r w:rsidRPr="001D20C3">
        <w:rPr>
          <w:rFonts w:asciiTheme="minorHAnsi" w:hAnsiTheme="minorHAnsi"/>
          <w:b w:val="0"/>
          <w:noProof/>
          <w:sz w:val="28"/>
          <w:szCs w:val="28"/>
        </w:rPr>
        <w:t>1</w:t>
      </w:r>
      <w:r w:rsidRPr="001D20C3">
        <w:rPr>
          <w:rFonts w:asciiTheme="minorHAnsi" w:hAnsiTheme="minorHAnsi"/>
          <w:b w:val="0"/>
          <w:sz w:val="28"/>
          <w:szCs w:val="28"/>
        </w:rPr>
        <w:fldChar w:fldCharType="end"/>
      </w:r>
      <w:r w:rsidRPr="001D20C3">
        <w:rPr>
          <w:rFonts w:asciiTheme="minorHAnsi" w:hAnsiTheme="minorHAnsi"/>
          <w:b w:val="0"/>
          <w:sz w:val="28"/>
          <w:szCs w:val="28"/>
        </w:rPr>
        <w:t>.</w:t>
      </w:r>
      <w:proofErr w:type="gramEnd"/>
      <w:r w:rsidRPr="001D20C3">
        <w:rPr>
          <w:rFonts w:asciiTheme="minorHAnsi" w:hAnsiTheme="minorHAnsi"/>
          <w:b w:val="0"/>
          <w:sz w:val="28"/>
          <w:szCs w:val="28"/>
        </w:rPr>
        <w:t xml:space="preserve">  </w:t>
      </w:r>
      <w:proofErr w:type="gramStart"/>
      <w:r w:rsidRPr="001D20C3">
        <w:rPr>
          <w:rFonts w:asciiTheme="minorHAnsi" w:hAnsiTheme="minorHAnsi"/>
          <w:b w:val="0"/>
          <w:sz w:val="28"/>
          <w:szCs w:val="28"/>
        </w:rPr>
        <w:t>Relationship between Soil and Seed Cadmium from Manitoba data.</w:t>
      </w:r>
      <w:proofErr w:type="gramEnd"/>
    </w:p>
    <w:p w:rsidR="0045579E" w:rsidRDefault="0045579E" w:rsidP="0045579E">
      <w:pPr>
        <w:keepNext/>
      </w:pPr>
      <w:r>
        <w:object w:dxaOrig="8778" w:dyaOrig="13347">
          <v:shape id="_x0000_i1025" type="#_x0000_t75" style="width:396.6pt;height:603pt" o:ole="">
            <v:imagedata r:id="rId13" o:title=""/>
          </v:shape>
          <o:OLEObject Type="Embed" ProgID="SigmaPlotGraphicObject.11" ShapeID="_x0000_i1025" DrawAspect="Content" ObjectID="_1417507288" r:id="rId14"/>
        </w:object>
      </w:r>
    </w:p>
    <w:p w:rsidR="0045579E" w:rsidRPr="0005748E" w:rsidRDefault="0045579E" w:rsidP="0045579E">
      <w:pPr>
        <w:pStyle w:val="Caption"/>
        <w:rPr>
          <w:rFonts w:ascii="Arial" w:hAnsi="Arial" w:cs="Arial"/>
          <w:b w:val="0"/>
          <w:sz w:val="22"/>
          <w:szCs w:val="22"/>
        </w:rPr>
      </w:pPr>
      <w:proofErr w:type="gramStart"/>
      <w:r w:rsidRPr="0005748E">
        <w:rPr>
          <w:rFonts w:ascii="Arial" w:hAnsi="Arial" w:cs="Arial"/>
          <w:b w:val="0"/>
          <w:sz w:val="22"/>
          <w:szCs w:val="22"/>
        </w:rPr>
        <w:t xml:space="preserve">Figure </w:t>
      </w:r>
      <w:r w:rsidR="000E5250">
        <w:rPr>
          <w:rFonts w:ascii="Arial" w:hAnsi="Arial" w:cs="Arial"/>
          <w:b w:val="0"/>
          <w:sz w:val="22"/>
          <w:szCs w:val="22"/>
        </w:rPr>
        <w:t>2</w:t>
      </w:r>
      <w:r w:rsidRPr="0005748E">
        <w:rPr>
          <w:rFonts w:ascii="Arial" w:hAnsi="Arial" w:cs="Arial"/>
          <w:b w:val="0"/>
          <w:sz w:val="22"/>
          <w:szCs w:val="22"/>
        </w:rPr>
        <w:t>.</w:t>
      </w:r>
      <w:proofErr w:type="gramEnd"/>
      <w:r w:rsidRPr="0005748E">
        <w:rPr>
          <w:rFonts w:ascii="Arial" w:hAnsi="Arial" w:cs="Arial"/>
          <w:b w:val="0"/>
          <w:sz w:val="22"/>
          <w:szCs w:val="22"/>
        </w:rPr>
        <w:t xml:space="preserve">  </w:t>
      </w:r>
      <w:proofErr w:type="gramStart"/>
      <w:r w:rsidRPr="0005748E">
        <w:rPr>
          <w:rFonts w:ascii="Arial" w:hAnsi="Arial" w:cs="Arial"/>
          <w:b w:val="0"/>
          <w:sz w:val="22"/>
          <w:szCs w:val="22"/>
        </w:rPr>
        <w:t>Relationship between available soil cadmium and soybean seed cadmium.</w:t>
      </w:r>
      <w:proofErr w:type="gramEnd"/>
    </w:p>
    <w:p w:rsidR="0045579E" w:rsidRDefault="0045579E" w:rsidP="0045579E"/>
    <w:p w:rsidR="0045579E" w:rsidRDefault="0045579E" w:rsidP="0045579E">
      <w:pPr>
        <w:ind w:left="-720"/>
        <w:rPr>
          <w:b/>
          <w:sz w:val="22"/>
          <w:szCs w:val="22"/>
        </w:rPr>
      </w:pPr>
      <w:r w:rsidRPr="00964EAF">
        <w:rPr>
          <w:b/>
          <w:sz w:val="22"/>
          <w:szCs w:val="22"/>
        </w:rPr>
        <w:lastRenderedPageBreak/>
        <w:t>References</w:t>
      </w:r>
      <w:r>
        <w:rPr>
          <w:b/>
          <w:sz w:val="22"/>
          <w:szCs w:val="22"/>
        </w:rPr>
        <w:t>:</w:t>
      </w:r>
    </w:p>
    <w:p w:rsidR="0045579E" w:rsidRPr="003C1070" w:rsidRDefault="0045579E" w:rsidP="0045579E">
      <w:pPr>
        <w:ind w:left="-720"/>
        <w:rPr>
          <w:color w:val="000000"/>
        </w:rPr>
      </w:pPr>
    </w:p>
    <w:p w:rsidR="0045579E" w:rsidRPr="001A60F8" w:rsidRDefault="0045579E" w:rsidP="0045579E">
      <w:pPr>
        <w:ind w:hanging="720"/>
        <w:rPr>
          <w:color w:val="000000"/>
          <w:sz w:val="22"/>
          <w:szCs w:val="22"/>
        </w:rPr>
      </w:pPr>
      <w:proofErr w:type="spellStart"/>
      <w:proofErr w:type="gramStart"/>
      <w:r w:rsidRPr="001A60F8">
        <w:rPr>
          <w:color w:val="000000"/>
          <w:sz w:val="22"/>
          <w:szCs w:val="22"/>
        </w:rPr>
        <w:t>Arao</w:t>
      </w:r>
      <w:proofErr w:type="spellEnd"/>
      <w:r w:rsidRPr="001A60F8">
        <w:rPr>
          <w:color w:val="000000"/>
          <w:sz w:val="22"/>
          <w:szCs w:val="22"/>
        </w:rPr>
        <w:t xml:space="preserve">, T., </w:t>
      </w:r>
      <w:proofErr w:type="spellStart"/>
      <w:r w:rsidRPr="001A60F8">
        <w:rPr>
          <w:color w:val="000000"/>
          <w:sz w:val="22"/>
          <w:szCs w:val="22"/>
        </w:rPr>
        <w:t>Ae</w:t>
      </w:r>
      <w:proofErr w:type="spellEnd"/>
      <w:r w:rsidRPr="001A60F8">
        <w:rPr>
          <w:color w:val="000000"/>
          <w:sz w:val="22"/>
          <w:szCs w:val="22"/>
        </w:rPr>
        <w:t>, N., Sugiyama, M., and Takahashi, M.</w:t>
      </w:r>
      <w:proofErr w:type="gramEnd"/>
      <w:r w:rsidRPr="001A60F8">
        <w:rPr>
          <w:color w:val="000000"/>
          <w:sz w:val="22"/>
          <w:szCs w:val="22"/>
        </w:rPr>
        <w:t xml:space="preserve">  2003.  Genotypic differences in cadmium uptake and distribution in soybeans.  Plant and Soil 251: 247-253.</w:t>
      </w:r>
    </w:p>
    <w:p w:rsidR="0045579E" w:rsidRPr="001A60F8" w:rsidRDefault="0045579E" w:rsidP="0045579E">
      <w:pPr>
        <w:ind w:hanging="720"/>
        <w:rPr>
          <w:sz w:val="22"/>
          <w:szCs w:val="22"/>
        </w:rPr>
      </w:pPr>
      <w:r w:rsidRPr="001A60F8">
        <w:rPr>
          <w:sz w:val="22"/>
          <w:szCs w:val="22"/>
        </w:rPr>
        <w:t xml:space="preserve">Grant CA, Clarke JM, </w:t>
      </w:r>
      <w:proofErr w:type="spellStart"/>
      <w:r w:rsidRPr="001A60F8">
        <w:rPr>
          <w:sz w:val="22"/>
          <w:szCs w:val="22"/>
        </w:rPr>
        <w:t>Duguid</w:t>
      </w:r>
      <w:proofErr w:type="spellEnd"/>
      <w:r w:rsidRPr="001A60F8">
        <w:rPr>
          <w:sz w:val="22"/>
          <w:szCs w:val="22"/>
        </w:rPr>
        <w:t xml:space="preserve"> S, Chaney RL. </w:t>
      </w:r>
      <w:proofErr w:type="gramStart"/>
      <w:r w:rsidRPr="001A60F8">
        <w:rPr>
          <w:sz w:val="22"/>
          <w:szCs w:val="22"/>
        </w:rPr>
        <w:t>2008 Selection and breeding of plant varieties to minimize cadmium accumulation.</w:t>
      </w:r>
      <w:proofErr w:type="gramEnd"/>
      <w:r w:rsidRPr="001A60F8">
        <w:rPr>
          <w:sz w:val="22"/>
          <w:szCs w:val="22"/>
        </w:rPr>
        <w:t xml:space="preserve"> Science of the Total Environment 390: 301-310.</w:t>
      </w:r>
    </w:p>
    <w:p w:rsidR="0045579E" w:rsidRPr="006C65AC" w:rsidRDefault="0045579E" w:rsidP="0045579E">
      <w:pPr>
        <w:ind w:hanging="720"/>
        <w:rPr>
          <w:sz w:val="22"/>
          <w:szCs w:val="22"/>
          <w:lang w:val="fr-FR"/>
        </w:rPr>
      </w:pPr>
      <w:proofErr w:type="gramStart"/>
      <w:r w:rsidRPr="001A60F8">
        <w:rPr>
          <w:sz w:val="22"/>
          <w:szCs w:val="22"/>
        </w:rPr>
        <w:t xml:space="preserve">Health </w:t>
      </w:r>
      <w:smartTag w:uri="urn:schemas-microsoft-com:office:smarttags" w:element="country-region">
        <w:smartTag w:uri="urn:schemas-microsoft-com:office:smarttags" w:element="place">
          <w:r w:rsidRPr="001A60F8">
            <w:rPr>
              <w:sz w:val="22"/>
              <w:szCs w:val="22"/>
            </w:rPr>
            <w:t>Canada</w:t>
          </w:r>
        </w:smartTag>
      </w:smartTag>
      <w:r w:rsidRPr="001A60F8">
        <w:rPr>
          <w:sz w:val="22"/>
          <w:szCs w:val="22"/>
        </w:rPr>
        <w:t>.</w:t>
      </w:r>
      <w:proofErr w:type="gramEnd"/>
      <w:r w:rsidRPr="001A60F8">
        <w:rPr>
          <w:sz w:val="22"/>
          <w:szCs w:val="22"/>
        </w:rPr>
        <w:t xml:space="preserve"> 2006. Federal Contaminated Site Risk Assessment </w:t>
      </w:r>
      <w:proofErr w:type="gramStart"/>
      <w:r w:rsidRPr="001A60F8">
        <w:rPr>
          <w:sz w:val="22"/>
          <w:szCs w:val="22"/>
        </w:rPr>
        <w:t>In</w:t>
      </w:r>
      <w:proofErr w:type="gramEnd"/>
      <w:r w:rsidRPr="001A60F8">
        <w:rPr>
          <w:sz w:val="22"/>
          <w:szCs w:val="22"/>
        </w:rPr>
        <w:t xml:space="preserve"> </w:t>
      </w:r>
      <w:smartTag w:uri="urn:schemas-microsoft-com:office:smarttags" w:element="country-region">
        <w:smartTag w:uri="urn:schemas-microsoft-com:office:smarttags" w:element="place">
          <w:r w:rsidRPr="001A60F8">
            <w:rPr>
              <w:sz w:val="22"/>
              <w:szCs w:val="22"/>
            </w:rPr>
            <w:t>Canada</w:t>
          </w:r>
        </w:smartTag>
      </w:smartTag>
      <w:r w:rsidRPr="001A60F8">
        <w:rPr>
          <w:sz w:val="22"/>
          <w:szCs w:val="22"/>
        </w:rPr>
        <w:t xml:space="preserve">: Part II: Health </w:t>
      </w:r>
      <w:smartTag w:uri="urn:schemas-microsoft-com:office:smarttags" w:element="country-region">
        <w:smartTag w:uri="urn:schemas-microsoft-com:office:smarttags" w:element="place">
          <w:r w:rsidRPr="001A60F8">
            <w:rPr>
              <w:sz w:val="22"/>
              <w:szCs w:val="22"/>
            </w:rPr>
            <w:t>Canada</w:t>
          </w:r>
        </w:smartTag>
      </w:smartTag>
      <w:r w:rsidRPr="001A60F8">
        <w:rPr>
          <w:sz w:val="22"/>
          <w:szCs w:val="22"/>
        </w:rPr>
        <w:t xml:space="preserve"> Toxicological Reverence Values (TRVs). </w:t>
      </w:r>
      <w:proofErr w:type="spellStart"/>
      <w:r w:rsidRPr="006C65AC">
        <w:rPr>
          <w:sz w:val="22"/>
          <w:szCs w:val="22"/>
          <w:lang w:val="fr-FR"/>
        </w:rPr>
        <w:t>Available</w:t>
      </w:r>
      <w:proofErr w:type="spellEnd"/>
      <w:r w:rsidRPr="006C65AC">
        <w:rPr>
          <w:sz w:val="22"/>
          <w:szCs w:val="22"/>
          <w:lang w:val="fr-FR"/>
        </w:rPr>
        <w:t>: http://www.hc-sc.gc.ca/ewh-semt/pubs/contamsite/part-partie_ii/trvs-vtr-eng.php.</w:t>
      </w:r>
    </w:p>
    <w:p w:rsidR="0045579E" w:rsidRPr="001A60F8" w:rsidRDefault="0045579E" w:rsidP="0045579E">
      <w:pPr>
        <w:ind w:hanging="720"/>
        <w:rPr>
          <w:sz w:val="22"/>
          <w:szCs w:val="22"/>
        </w:rPr>
      </w:pPr>
      <w:r w:rsidRPr="001A60F8">
        <w:rPr>
          <w:sz w:val="22"/>
          <w:szCs w:val="22"/>
        </w:rPr>
        <w:t xml:space="preserve">Malan HL, </w:t>
      </w:r>
      <w:proofErr w:type="spellStart"/>
      <w:r w:rsidRPr="001A60F8">
        <w:rPr>
          <w:sz w:val="22"/>
          <w:szCs w:val="22"/>
        </w:rPr>
        <w:t>Farrant</w:t>
      </w:r>
      <w:proofErr w:type="spellEnd"/>
      <w:r w:rsidRPr="001A60F8">
        <w:rPr>
          <w:sz w:val="22"/>
          <w:szCs w:val="22"/>
        </w:rPr>
        <w:t xml:space="preserve"> JM. 1998 Effects of the metal pollutants cadmium and nickel on soybean seed development. Seed Science Research 8: 445-453.</w:t>
      </w:r>
    </w:p>
    <w:p w:rsidR="0045579E" w:rsidRPr="001A60F8" w:rsidRDefault="0045579E" w:rsidP="0045579E">
      <w:pPr>
        <w:ind w:hanging="720"/>
        <w:rPr>
          <w:sz w:val="22"/>
          <w:szCs w:val="22"/>
        </w:rPr>
      </w:pPr>
      <w:proofErr w:type="spellStart"/>
      <w:r w:rsidRPr="001A60F8">
        <w:rPr>
          <w:sz w:val="22"/>
          <w:szCs w:val="22"/>
        </w:rPr>
        <w:t>Marchiol</w:t>
      </w:r>
      <w:proofErr w:type="spellEnd"/>
      <w:r w:rsidRPr="001A60F8">
        <w:rPr>
          <w:sz w:val="22"/>
          <w:szCs w:val="22"/>
        </w:rPr>
        <w:t xml:space="preserve"> L, </w:t>
      </w:r>
      <w:proofErr w:type="spellStart"/>
      <w:r w:rsidRPr="001A60F8">
        <w:rPr>
          <w:sz w:val="22"/>
          <w:szCs w:val="22"/>
        </w:rPr>
        <w:t>Leita</w:t>
      </w:r>
      <w:proofErr w:type="spellEnd"/>
      <w:r w:rsidRPr="001A60F8">
        <w:rPr>
          <w:sz w:val="22"/>
          <w:szCs w:val="22"/>
        </w:rPr>
        <w:t xml:space="preserve"> L, Martin M, </w:t>
      </w:r>
      <w:proofErr w:type="spellStart"/>
      <w:r w:rsidRPr="001A60F8">
        <w:rPr>
          <w:sz w:val="22"/>
          <w:szCs w:val="22"/>
        </w:rPr>
        <w:t>Peressotti</w:t>
      </w:r>
      <w:proofErr w:type="spellEnd"/>
      <w:r w:rsidRPr="001A60F8">
        <w:rPr>
          <w:sz w:val="22"/>
          <w:szCs w:val="22"/>
        </w:rPr>
        <w:t xml:space="preserve"> A, </w:t>
      </w:r>
      <w:proofErr w:type="spellStart"/>
      <w:r w:rsidRPr="001A60F8">
        <w:rPr>
          <w:sz w:val="22"/>
          <w:szCs w:val="22"/>
        </w:rPr>
        <w:t>Zerbi</w:t>
      </w:r>
      <w:proofErr w:type="spellEnd"/>
      <w:r w:rsidRPr="001A60F8">
        <w:rPr>
          <w:sz w:val="22"/>
          <w:szCs w:val="22"/>
        </w:rPr>
        <w:t xml:space="preserve"> G. 1996 Physiological responses of two soybean </w:t>
      </w:r>
      <w:proofErr w:type="spellStart"/>
      <w:r w:rsidRPr="001A60F8">
        <w:rPr>
          <w:sz w:val="22"/>
          <w:szCs w:val="22"/>
        </w:rPr>
        <w:t>varietiess</w:t>
      </w:r>
      <w:proofErr w:type="spellEnd"/>
      <w:r w:rsidRPr="001A60F8">
        <w:rPr>
          <w:sz w:val="22"/>
          <w:szCs w:val="22"/>
        </w:rPr>
        <w:t xml:space="preserve"> to cadmium. Journal of Environmental Quality 25: 562-566.</w:t>
      </w:r>
    </w:p>
    <w:p w:rsidR="0045579E" w:rsidRPr="001A60F8" w:rsidRDefault="0045579E" w:rsidP="0045579E">
      <w:pPr>
        <w:ind w:hanging="720"/>
        <w:rPr>
          <w:color w:val="000000"/>
          <w:sz w:val="22"/>
          <w:szCs w:val="22"/>
        </w:rPr>
      </w:pPr>
      <w:r w:rsidRPr="001A60F8">
        <w:rPr>
          <w:bCs/>
          <w:color w:val="000000"/>
          <w:sz w:val="22"/>
          <w:szCs w:val="22"/>
        </w:rPr>
        <w:t>Morrison, M.J.</w:t>
      </w:r>
      <w:r w:rsidRPr="001A60F8">
        <w:rPr>
          <w:color w:val="000000"/>
          <w:sz w:val="22"/>
          <w:szCs w:val="22"/>
        </w:rPr>
        <w:t xml:space="preserve">, Elroy Cober, Vaino Poysa, </w:t>
      </w:r>
      <w:smartTag w:uri="urn:schemas-microsoft-com:office:smarttags" w:element="PersonName">
        <w:r w:rsidRPr="001A60F8">
          <w:rPr>
            <w:color w:val="000000"/>
            <w:sz w:val="22"/>
            <w:szCs w:val="22"/>
          </w:rPr>
          <w:t xml:space="preserve">Eugene </w:t>
        </w:r>
        <w:proofErr w:type="spellStart"/>
        <w:r w:rsidRPr="001A60F8">
          <w:rPr>
            <w:color w:val="000000"/>
            <w:sz w:val="22"/>
            <w:szCs w:val="22"/>
          </w:rPr>
          <w:t>Gawalko</w:t>
        </w:r>
      </w:smartTag>
      <w:proofErr w:type="spellEnd"/>
      <w:r w:rsidRPr="001A60F8">
        <w:rPr>
          <w:color w:val="000000"/>
          <w:sz w:val="22"/>
          <w:szCs w:val="22"/>
        </w:rPr>
        <w:t xml:space="preserve">.  2009. “Soil Cadmium concentration influences soybean seed concentration. </w:t>
      </w:r>
      <w:proofErr w:type="gramStart"/>
      <w:r w:rsidRPr="001A60F8">
        <w:rPr>
          <w:color w:val="000000"/>
          <w:sz w:val="22"/>
          <w:szCs w:val="22"/>
        </w:rPr>
        <w:t xml:space="preserve">Joint meeting of the </w:t>
      </w:r>
      <w:smartTag w:uri="urn:schemas-microsoft-com:office:smarttags" w:element="stockticker">
        <w:r w:rsidRPr="001A60F8">
          <w:rPr>
            <w:color w:val="000000"/>
            <w:sz w:val="22"/>
            <w:szCs w:val="22"/>
          </w:rPr>
          <w:t>CSA</w:t>
        </w:r>
      </w:smartTag>
      <w:r w:rsidRPr="001A60F8">
        <w:rPr>
          <w:color w:val="000000"/>
          <w:sz w:val="22"/>
          <w:szCs w:val="22"/>
        </w:rPr>
        <w:t xml:space="preserve"> and CSSA.</w:t>
      </w:r>
      <w:proofErr w:type="gramEnd"/>
      <w:r w:rsidRPr="001A60F8">
        <w:rPr>
          <w:color w:val="000000"/>
          <w:sz w:val="22"/>
          <w:szCs w:val="22"/>
        </w:rPr>
        <w:t xml:space="preserve">  </w:t>
      </w:r>
      <w:smartTag w:uri="urn:schemas-microsoft-com:office:smarttags" w:element="place">
        <w:smartTag w:uri="urn:schemas-microsoft-com:office:smarttags" w:element="City">
          <w:r w:rsidRPr="001A60F8">
            <w:rPr>
              <w:color w:val="000000"/>
              <w:sz w:val="22"/>
              <w:szCs w:val="22"/>
            </w:rPr>
            <w:t>Guelph</w:t>
          </w:r>
        </w:smartTag>
        <w:r w:rsidRPr="001A60F8">
          <w:rPr>
            <w:color w:val="000000"/>
            <w:sz w:val="22"/>
            <w:szCs w:val="22"/>
          </w:rPr>
          <w:t xml:space="preserve">, </w:t>
        </w:r>
        <w:smartTag w:uri="urn:schemas-microsoft-com:office:smarttags" w:element="State">
          <w:r w:rsidRPr="001A60F8">
            <w:rPr>
              <w:color w:val="000000"/>
              <w:sz w:val="22"/>
              <w:szCs w:val="22"/>
            </w:rPr>
            <w:t>ON</w:t>
          </w:r>
        </w:smartTag>
      </w:smartTag>
      <w:r w:rsidRPr="001A60F8">
        <w:rPr>
          <w:color w:val="000000"/>
          <w:sz w:val="22"/>
          <w:szCs w:val="22"/>
        </w:rPr>
        <w:t>. Aug 2009. (</w:t>
      </w:r>
      <w:proofErr w:type="gramStart"/>
      <w:r w:rsidRPr="001A60F8">
        <w:rPr>
          <w:color w:val="000000"/>
          <w:sz w:val="22"/>
          <w:szCs w:val="22"/>
        </w:rPr>
        <w:t>seminar</w:t>
      </w:r>
      <w:proofErr w:type="gramEnd"/>
      <w:r w:rsidRPr="001A60F8">
        <w:rPr>
          <w:color w:val="000000"/>
          <w:sz w:val="22"/>
          <w:szCs w:val="22"/>
        </w:rPr>
        <w:t>).</w:t>
      </w:r>
    </w:p>
    <w:p w:rsidR="0045579E" w:rsidRPr="001A60F8" w:rsidRDefault="0045579E" w:rsidP="0045579E">
      <w:pPr>
        <w:ind w:hanging="720"/>
        <w:rPr>
          <w:sz w:val="22"/>
          <w:szCs w:val="22"/>
        </w:rPr>
      </w:pPr>
      <w:r w:rsidRPr="001A60F8">
        <w:rPr>
          <w:sz w:val="22"/>
          <w:szCs w:val="22"/>
        </w:rPr>
        <w:t xml:space="preserve">Morrison, M.J., Vanessa </w:t>
      </w:r>
      <w:proofErr w:type="spellStart"/>
      <w:r w:rsidRPr="001A60F8">
        <w:rPr>
          <w:sz w:val="22"/>
          <w:szCs w:val="22"/>
        </w:rPr>
        <w:t>Mongeon</w:t>
      </w:r>
      <w:proofErr w:type="spellEnd"/>
      <w:r w:rsidRPr="001A60F8">
        <w:rPr>
          <w:sz w:val="22"/>
          <w:szCs w:val="22"/>
        </w:rPr>
        <w:t xml:space="preserve">, Elroy Cober, Vaino Poysa, </w:t>
      </w:r>
      <w:smartTag w:uri="urn:schemas-microsoft-com:office:smarttags" w:element="PersonName">
        <w:r w:rsidRPr="001A60F8">
          <w:rPr>
            <w:sz w:val="22"/>
            <w:szCs w:val="22"/>
          </w:rPr>
          <w:t xml:space="preserve">Eugene </w:t>
        </w:r>
        <w:proofErr w:type="spellStart"/>
        <w:r w:rsidRPr="001A60F8">
          <w:rPr>
            <w:sz w:val="22"/>
            <w:szCs w:val="22"/>
          </w:rPr>
          <w:t>Gawalko</w:t>
        </w:r>
      </w:smartTag>
      <w:proofErr w:type="spellEnd"/>
      <w:r w:rsidRPr="001A60F8">
        <w:rPr>
          <w:sz w:val="22"/>
          <w:szCs w:val="22"/>
        </w:rPr>
        <w:t xml:space="preserve">. 2010.  A method for selecting low cadmium (Cd) accumulating soybean varieties.  </w:t>
      </w:r>
      <w:proofErr w:type="gramStart"/>
      <w:r w:rsidRPr="001A60F8">
        <w:rPr>
          <w:sz w:val="22"/>
          <w:szCs w:val="22"/>
        </w:rPr>
        <w:t xml:space="preserve">Joint meeting of the </w:t>
      </w:r>
      <w:smartTag w:uri="urn:schemas-microsoft-com:office:smarttags" w:element="stockticker">
        <w:r w:rsidRPr="001A60F8">
          <w:rPr>
            <w:sz w:val="22"/>
            <w:szCs w:val="22"/>
          </w:rPr>
          <w:t>CSA</w:t>
        </w:r>
      </w:smartTag>
      <w:r w:rsidRPr="001A60F8">
        <w:rPr>
          <w:sz w:val="22"/>
          <w:szCs w:val="22"/>
        </w:rPr>
        <w:t xml:space="preserve"> and CSSA.</w:t>
      </w:r>
      <w:proofErr w:type="gramEnd"/>
      <w:r w:rsidRPr="001A60F8">
        <w:rPr>
          <w:sz w:val="22"/>
          <w:szCs w:val="22"/>
        </w:rPr>
        <w:t xml:space="preserve">  </w:t>
      </w:r>
      <w:smartTag w:uri="urn:schemas-microsoft-com:office:smarttags" w:element="place">
        <w:smartTag w:uri="urn:schemas-microsoft-com:office:smarttags" w:element="City">
          <w:r w:rsidRPr="001A60F8">
            <w:rPr>
              <w:sz w:val="22"/>
              <w:szCs w:val="22"/>
            </w:rPr>
            <w:t>Saskatoon</w:t>
          </w:r>
        </w:smartTag>
        <w:r w:rsidRPr="001A60F8">
          <w:rPr>
            <w:sz w:val="22"/>
            <w:szCs w:val="22"/>
          </w:rPr>
          <w:t xml:space="preserve"> </w:t>
        </w:r>
        <w:smartTag w:uri="urn:schemas-microsoft-com:office:smarttags" w:element="State">
          <w:r w:rsidRPr="001A60F8">
            <w:rPr>
              <w:sz w:val="22"/>
              <w:szCs w:val="22"/>
            </w:rPr>
            <w:t>Sask.</w:t>
          </w:r>
        </w:smartTag>
      </w:smartTag>
      <w:r w:rsidRPr="001A60F8">
        <w:rPr>
          <w:sz w:val="22"/>
          <w:szCs w:val="22"/>
        </w:rPr>
        <w:t xml:space="preserve"> June 2010. (</w:t>
      </w:r>
      <w:proofErr w:type="gramStart"/>
      <w:r w:rsidRPr="001A60F8">
        <w:rPr>
          <w:sz w:val="22"/>
          <w:szCs w:val="22"/>
        </w:rPr>
        <w:t>seminar</w:t>
      </w:r>
      <w:proofErr w:type="gramEnd"/>
      <w:r w:rsidRPr="001A60F8">
        <w:rPr>
          <w:sz w:val="22"/>
          <w:szCs w:val="22"/>
        </w:rPr>
        <w:t>).</w:t>
      </w:r>
    </w:p>
    <w:p w:rsidR="0045579E" w:rsidRPr="001A60F8" w:rsidRDefault="0045579E" w:rsidP="0045579E">
      <w:pPr>
        <w:ind w:hanging="720"/>
        <w:rPr>
          <w:color w:val="000000"/>
          <w:sz w:val="22"/>
          <w:szCs w:val="22"/>
        </w:rPr>
      </w:pPr>
      <w:proofErr w:type="gramStart"/>
      <w:r w:rsidRPr="001A60F8">
        <w:rPr>
          <w:color w:val="000000"/>
          <w:sz w:val="22"/>
          <w:szCs w:val="22"/>
        </w:rPr>
        <w:t xml:space="preserve">Shute, T., and </w:t>
      </w:r>
      <w:proofErr w:type="spellStart"/>
      <w:r w:rsidRPr="001A60F8">
        <w:rPr>
          <w:color w:val="000000"/>
          <w:sz w:val="22"/>
          <w:szCs w:val="22"/>
        </w:rPr>
        <w:t>Macfie</w:t>
      </w:r>
      <w:proofErr w:type="spellEnd"/>
      <w:r w:rsidRPr="001A60F8">
        <w:rPr>
          <w:color w:val="000000"/>
          <w:sz w:val="22"/>
          <w:szCs w:val="22"/>
        </w:rPr>
        <w:t>, S.M.</w:t>
      </w:r>
      <w:proofErr w:type="gramEnd"/>
      <w:r w:rsidRPr="001A60F8">
        <w:rPr>
          <w:color w:val="000000"/>
          <w:sz w:val="22"/>
          <w:szCs w:val="22"/>
        </w:rPr>
        <w:t xml:space="preserve">  2006.  Cadmium and zinc accumulation in soybean: A threat to food safety?  Science of the Total Environment 371: 63-73.</w:t>
      </w:r>
    </w:p>
    <w:p w:rsidR="0045579E" w:rsidRDefault="0045579E" w:rsidP="0045579E"/>
    <w:p w:rsidR="0045579E" w:rsidRDefault="0045579E" w:rsidP="001D6AF2">
      <w:pPr>
        <w:spacing w:after="0"/>
      </w:pPr>
      <w:bookmarkStart w:id="0" w:name="_GoBack"/>
      <w:bookmarkEnd w:id="0"/>
    </w:p>
    <w:sectPr w:rsidR="00455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516F3"/>
    <w:multiLevelType w:val="hybridMultilevel"/>
    <w:tmpl w:val="5C20C0AA"/>
    <w:lvl w:ilvl="0" w:tplc="AC328CAE">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3BFA3313"/>
    <w:multiLevelType w:val="hybridMultilevel"/>
    <w:tmpl w:val="699E568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667D1D5E"/>
    <w:multiLevelType w:val="hybridMultilevel"/>
    <w:tmpl w:val="8946AFA4"/>
    <w:lvl w:ilvl="0" w:tplc="10090001">
      <w:start w:val="1"/>
      <w:numFmt w:val="bullet"/>
      <w:lvlText w:val=""/>
      <w:lvlJc w:val="left"/>
      <w:pPr>
        <w:tabs>
          <w:tab w:val="num" w:pos="792"/>
        </w:tabs>
        <w:ind w:left="792" w:hanging="360"/>
      </w:pPr>
      <w:rPr>
        <w:rFonts w:ascii="Symbol" w:hAnsi="Symbol" w:hint="default"/>
      </w:rPr>
    </w:lvl>
    <w:lvl w:ilvl="1" w:tplc="10090003">
      <w:start w:val="1"/>
      <w:numFmt w:val="bullet"/>
      <w:lvlText w:val="o"/>
      <w:lvlJc w:val="left"/>
      <w:pPr>
        <w:tabs>
          <w:tab w:val="num" w:pos="1512"/>
        </w:tabs>
        <w:ind w:left="1512" w:hanging="360"/>
      </w:pPr>
      <w:rPr>
        <w:rFonts w:ascii="Courier New" w:hAnsi="Courier New" w:cs="Courier New" w:hint="default"/>
      </w:rPr>
    </w:lvl>
    <w:lvl w:ilvl="2" w:tplc="10090005" w:tentative="1">
      <w:start w:val="1"/>
      <w:numFmt w:val="bullet"/>
      <w:lvlText w:val=""/>
      <w:lvlJc w:val="left"/>
      <w:pPr>
        <w:tabs>
          <w:tab w:val="num" w:pos="2232"/>
        </w:tabs>
        <w:ind w:left="2232" w:hanging="360"/>
      </w:pPr>
      <w:rPr>
        <w:rFonts w:ascii="Wingdings" w:hAnsi="Wingdings" w:hint="default"/>
      </w:rPr>
    </w:lvl>
    <w:lvl w:ilvl="3" w:tplc="10090001" w:tentative="1">
      <w:start w:val="1"/>
      <w:numFmt w:val="bullet"/>
      <w:lvlText w:val=""/>
      <w:lvlJc w:val="left"/>
      <w:pPr>
        <w:tabs>
          <w:tab w:val="num" w:pos="2952"/>
        </w:tabs>
        <w:ind w:left="2952" w:hanging="360"/>
      </w:pPr>
      <w:rPr>
        <w:rFonts w:ascii="Symbol" w:hAnsi="Symbol" w:hint="default"/>
      </w:rPr>
    </w:lvl>
    <w:lvl w:ilvl="4" w:tplc="10090003" w:tentative="1">
      <w:start w:val="1"/>
      <w:numFmt w:val="bullet"/>
      <w:lvlText w:val="o"/>
      <w:lvlJc w:val="left"/>
      <w:pPr>
        <w:tabs>
          <w:tab w:val="num" w:pos="3672"/>
        </w:tabs>
        <w:ind w:left="3672" w:hanging="360"/>
      </w:pPr>
      <w:rPr>
        <w:rFonts w:ascii="Courier New" w:hAnsi="Courier New" w:cs="Courier New" w:hint="default"/>
      </w:rPr>
    </w:lvl>
    <w:lvl w:ilvl="5" w:tplc="10090005" w:tentative="1">
      <w:start w:val="1"/>
      <w:numFmt w:val="bullet"/>
      <w:lvlText w:val=""/>
      <w:lvlJc w:val="left"/>
      <w:pPr>
        <w:tabs>
          <w:tab w:val="num" w:pos="4392"/>
        </w:tabs>
        <w:ind w:left="4392" w:hanging="360"/>
      </w:pPr>
      <w:rPr>
        <w:rFonts w:ascii="Wingdings" w:hAnsi="Wingdings" w:hint="default"/>
      </w:rPr>
    </w:lvl>
    <w:lvl w:ilvl="6" w:tplc="10090001" w:tentative="1">
      <w:start w:val="1"/>
      <w:numFmt w:val="bullet"/>
      <w:lvlText w:val=""/>
      <w:lvlJc w:val="left"/>
      <w:pPr>
        <w:tabs>
          <w:tab w:val="num" w:pos="5112"/>
        </w:tabs>
        <w:ind w:left="5112" w:hanging="360"/>
      </w:pPr>
      <w:rPr>
        <w:rFonts w:ascii="Symbol" w:hAnsi="Symbol" w:hint="default"/>
      </w:rPr>
    </w:lvl>
    <w:lvl w:ilvl="7" w:tplc="10090003" w:tentative="1">
      <w:start w:val="1"/>
      <w:numFmt w:val="bullet"/>
      <w:lvlText w:val="o"/>
      <w:lvlJc w:val="left"/>
      <w:pPr>
        <w:tabs>
          <w:tab w:val="num" w:pos="5832"/>
        </w:tabs>
        <w:ind w:left="5832" w:hanging="360"/>
      </w:pPr>
      <w:rPr>
        <w:rFonts w:ascii="Courier New" w:hAnsi="Courier New" w:cs="Courier New" w:hint="default"/>
      </w:rPr>
    </w:lvl>
    <w:lvl w:ilvl="8" w:tplc="10090005" w:tentative="1">
      <w:start w:val="1"/>
      <w:numFmt w:val="bullet"/>
      <w:lvlText w:val=""/>
      <w:lvlJc w:val="left"/>
      <w:pPr>
        <w:tabs>
          <w:tab w:val="num" w:pos="6552"/>
        </w:tabs>
        <w:ind w:left="6552" w:hanging="360"/>
      </w:pPr>
      <w:rPr>
        <w:rFonts w:ascii="Wingdings" w:hAnsi="Wingdings" w:hint="default"/>
      </w:rPr>
    </w:lvl>
  </w:abstractNum>
  <w:abstractNum w:abstractNumId="3">
    <w:nsid w:val="732240F9"/>
    <w:multiLevelType w:val="hybridMultilevel"/>
    <w:tmpl w:val="92C89D6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AF2"/>
    <w:rsid w:val="000E5250"/>
    <w:rsid w:val="00164431"/>
    <w:rsid w:val="001D20C3"/>
    <w:rsid w:val="001D6AF2"/>
    <w:rsid w:val="001F118A"/>
    <w:rsid w:val="0045579E"/>
    <w:rsid w:val="00496047"/>
    <w:rsid w:val="00C31D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579E"/>
    <w:rPr>
      <w:color w:val="0000FF"/>
      <w:u w:val="single"/>
    </w:rPr>
  </w:style>
  <w:style w:type="paragraph" w:styleId="Caption">
    <w:name w:val="caption"/>
    <w:basedOn w:val="Normal"/>
    <w:next w:val="Normal"/>
    <w:qFormat/>
    <w:rsid w:val="0045579E"/>
    <w:pPr>
      <w:autoSpaceDE w:val="0"/>
      <w:autoSpaceDN w:val="0"/>
      <w:adjustRightInd w:val="0"/>
      <w:spacing w:before="120" w:after="120"/>
    </w:pPr>
    <w:rPr>
      <w:rFonts w:ascii="Times New Roman" w:eastAsia="Times New Roman" w:hAnsi="Times New Roman" w:cs="Times New Roman"/>
      <w:b/>
      <w:bCs/>
      <w:sz w:val="20"/>
      <w:szCs w:val="20"/>
      <w:lang w:val="en-US"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579E"/>
    <w:rPr>
      <w:color w:val="0000FF"/>
      <w:u w:val="single"/>
    </w:rPr>
  </w:style>
  <w:style w:type="paragraph" w:styleId="Caption">
    <w:name w:val="caption"/>
    <w:basedOn w:val="Normal"/>
    <w:next w:val="Normal"/>
    <w:qFormat/>
    <w:rsid w:val="0045579E"/>
    <w:pPr>
      <w:autoSpaceDE w:val="0"/>
      <w:autoSpaceDN w:val="0"/>
      <w:adjustRightInd w:val="0"/>
      <w:spacing w:before="120" w:after="120"/>
    </w:pPr>
    <w:rPr>
      <w:rFonts w:ascii="Times New Roman" w:eastAsia="Times New Roman" w:hAnsi="Times New Roman" w:cs="Times New Roman"/>
      <w:b/>
      <w:bCs/>
      <w:sz w:val="20"/>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chter@grainscanada.gc.ca" TargetMode="External"/><Relationship Id="rId13"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hyperlink" Target="mailto:egawalko@grainscanada.gc.ca" TargetMode="Externa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lcolm.morrison@agr.gc.ca" TargetMode="Externa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sandercock@agr.gc.ca" TargetMode="External"/><Relationship Id="rId4" Type="http://schemas.openxmlformats.org/officeDocument/2006/relationships/settings" Target="settings.xml"/><Relationship Id="rId9" Type="http://schemas.openxmlformats.org/officeDocument/2006/relationships/hyperlink" Target="mailto:Coberer@agr.gc.ca"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8</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12525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reviewer</cp:lastModifiedBy>
  <cp:revision>1</cp:revision>
  <dcterms:created xsi:type="dcterms:W3CDTF">2012-12-20T14:21:00Z</dcterms:created>
  <dcterms:modified xsi:type="dcterms:W3CDTF">2012-12-20T16:15:00Z</dcterms:modified>
</cp:coreProperties>
</file>