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6F" w:rsidRPr="005036B9" w:rsidRDefault="005036B9">
      <w:pPr>
        <w:rPr>
          <w:rFonts w:ascii="Times New Roman" w:hAnsi="Times New Roman" w:cs="Times New Roman"/>
          <w:noProof/>
          <w:sz w:val="24"/>
          <w:szCs w:val="24"/>
        </w:rPr>
      </w:pPr>
      <w:r w:rsidRPr="005036B9">
        <w:rPr>
          <w:rFonts w:ascii="Times New Roman" w:hAnsi="Times New Roman" w:cs="Times New Roman"/>
          <w:sz w:val="24"/>
          <w:szCs w:val="24"/>
        </w:rPr>
        <w:t xml:space="preserve">Project Title: </w:t>
      </w:r>
      <w:r w:rsidRPr="005A3EA0">
        <w:rPr>
          <w:rFonts w:ascii="Times New Roman" w:hAnsi="Times New Roman" w:cs="Times New Roman"/>
          <w:b/>
          <w:noProof/>
          <w:sz w:val="24"/>
          <w:szCs w:val="24"/>
        </w:rPr>
        <w:t>Extraction and functional characterization of cholesterol-binding indigestible proteins from Manitoba-grown pulses</w:t>
      </w:r>
    </w:p>
    <w:p w:rsidR="005036B9" w:rsidRDefault="005036B9">
      <w:pPr>
        <w:rPr>
          <w:rFonts w:ascii="Times New Roman" w:hAnsi="Times New Roman" w:cs="Times New Roman"/>
          <w:noProof/>
          <w:sz w:val="24"/>
          <w:szCs w:val="24"/>
        </w:rPr>
      </w:pPr>
      <w:r w:rsidRPr="005036B9">
        <w:rPr>
          <w:rFonts w:ascii="Times New Roman" w:hAnsi="Times New Roman" w:cs="Times New Roman"/>
          <w:noProof/>
          <w:sz w:val="24"/>
          <w:szCs w:val="24"/>
        </w:rPr>
        <w:t>Principal Investigator:</w:t>
      </w:r>
      <w:r>
        <w:rPr>
          <w:rFonts w:ascii="Times New Roman" w:hAnsi="Times New Roman" w:cs="Times New Roman"/>
          <w:noProof/>
          <w:sz w:val="24"/>
          <w:szCs w:val="24"/>
        </w:rPr>
        <w:t xml:space="preserve"> Dr. Rotimi Aluko, Department of Food and Human Nutritional Sciences, University of Manitoba, Winnipeg.</w:t>
      </w:r>
    </w:p>
    <w:p w:rsidR="005036B9" w:rsidRDefault="005036B9" w:rsidP="002E0723">
      <w:pPr>
        <w:jc w:val="both"/>
        <w:rPr>
          <w:rFonts w:ascii="Times New Roman" w:hAnsi="Times New Roman" w:cs="Times New Roman"/>
          <w:noProof/>
          <w:sz w:val="24"/>
          <w:szCs w:val="24"/>
        </w:rPr>
      </w:pPr>
      <w:r w:rsidRPr="005036B9">
        <w:rPr>
          <w:rFonts w:ascii="Times New Roman" w:hAnsi="Times New Roman" w:cs="Times New Roman"/>
          <w:b/>
          <w:noProof/>
          <w:sz w:val="24"/>
          <w:szCs w:val="24"/>
        </w:rPr>
        <w:t>Abstract</w:t>
      </w:r>
      <w:r>
        <w:rPr>
          <w:rFonts w:ascii="Times New Roman" w:hAnsi="Times New Roman" w:cs="Times New Roman"/>
          <w:b/>
          <w:noProof/>
          <w:sz w:val="24"/>
          <w:szCs w:val="24"/>
        </w:rPr>
        <w:t xml:space="preserve">: </w:t>
      </w:r>
      <w:r w:rsidRPr="00516BAC">
        <w:rPr>
          <w:rFonts w:ascii="Times New Roman" w:hAnsi="Times New Roman" w:cs="Times New Roman"/>
          <w:sz w:val="24"/>
          <w:szCs w:val="24"/>
          <w:lang w:val="en-CA"/>
        </w:rPr>
        <w:t xml:space="preserve">A total of 12 pulses were utilized to produce indigestible proteins following different processing treatments (wet heat, dry heat, freeze-thaw, gelation and autoclave). Black-eye bean after gelation (with slow cooling) had the highest yield (67.84%) and dry heated (24 h) moong dal washed had the least (0.49%). Soluble protein content ranged from 47.92% for dry heated moong dal washed to 6.91% of dry heated chick pea. The indigestible proteins had </w:t>
      </w:r>
      <w:r w:rsidRPr="00516BAC">
        <w:rPr>
          <w:rFonts w:ascii="Times New Roman" w:hAnsi="Times New Roman" w:cs="Times New Roman"/>
          <w:i/>
          <w:sz w:val="24"/>
          <w:szCs w:val="24"/>
          <w:lang w:val="en-CA"/>
        </w:rPr>
        <w:t>in vitro</w:t>
      </w:r>
      <w:r w:rsidRPr="00516BAC">
        <w:rPr>
          <w:rFonts w:ascii="Times New Roman" w:hAnsi="Times New Roman" w:cs="Times New Roman"/>
          <w:sz w:val="24"/>
          <w:szCs w:val="24"/>
          <w:lang w:val="en-CA"/>
        </w:rPr>
        <w:t xml:space="preserve"> bile acid-binding property that was dependent on processing treatment but not pulse variety. Surface hydrophobicity (</w:t>
      </w:r>
      <w:r w:rsidRPr="00516BAC">
        <w:rPr>
          <w:rFonts w:ascii="Times New Roman" w:hAnsi="Times New Roman" w:cs="Times New Roman"/>
          <w:i/>
          <w:sz w:val="24"/>
          <w:szCs w:val="24"/>
          <w:lang w:val="en-CA"/>
        </w:rPr>
        <w:t>S</w:t>
      </w:r>
      <w:r w:rsidRPr="00516BAC">
        <w:rPr>
          <w:rFonts w:ascii="Times New Roman" w:hAnsi="Times New Roman" w:cs="Times New Roman"/>
          <w:i/>
          <w:sz w:val="24"/>
          <w:szCs w:val="24"/>
          <w:vertAlign w:val="subscript"/>
          <w:lang w:val="en-CA"/>
        </w:rPr>
        <w:t>o</w:t>
      </w:r>
      <w:r w:rsidRPr="00516BAC">
        <w:rPr>
          <w:rFonts w:ascii="Times New Roman" w:hAnsi="Times New Roman" w:cs="Times New Roman"/>
          <w:sz w:val="24"/>
          <w:szCs w:val="24"/>
          <w:lang w:val="en-CA"/>
        </w:rPr>
        <w:t xml:space="preserve">) of the indigestible proteins was significantly different but there was no correlation between </w:t>
      </w:r>
      <w:proofErr w:type="gramStart"/>
      <w:r w:rsidRPr="00516BAC">
        <w:rPr>
          <w:rFonts w:ascii="Times New Roman" w:hAnsi="Times New Roman" w:cs="Times New Roman"/>
          <w:i/>
          <w:sz w:val="24"/>
          <w:szCs w:val="24"/>
          <w:lang w:val="en-CA"/>
        </w:rPr>
        <w:t>S</w:t>
      </w:r>
      <w:r w:rsidRPr="00516BAC">
        <w:rPr>
          <w:rFonts w:ascii="Times New Roman" w:hAnsi="Times New Roman" w:cs="Times New Roman"/>
          <w:i/>
          <w:sz w:val="24"/>
          <w:szCs w:val="24"/>
          <w:vertAlign w:val="subscript"/>
          <w:lang w:val="en-CA"/>
        </w:rPr>
        <w:t>o</w:t>
      </w:r>
      <w:proofErr w:type="gramEnd"/>
      <w:r w:rsidRPr="00516BAC">
        <w:rPr>
          <w:rFonts w:ascii="Times New Roman" w:hAnsi="Times New Roman" w:cs="Times New Roman"/>
          <w:i/>
          <w:sz w:val="24"/>
          <w:szCs w:val="24"/>
          <w:vertAlign w:val="subscript"/>
          <w:lang w:val="en-CA"/>
        </w:rPr>
        <w:t xml:space="preserve"> </w:t>
      </w:r>
      <w:r w:rsidRPr="00516BAC">
        <w:rPr>
          <w:rFonts w:ascii="Times New Roman" w:hAnsi="Times New Roman" w:cs="Times New Roman"/>
          <w:sz w:val="24"/>
          <w:szCs w:val="24"/>
          <w:lang w:val="en-CA"/>
        </w:rPr>
        <w:t xml:space="preserve">and bile acid-binding ability. According to amino acid composition analysis, 4 hydrophobic amino acids were higher in indigestible protein than native protein. Native and indigestible black-eye bean proteins were selected for rats feeding experiment based on yield and </w:t>
      </w:r>
      <w:r w:rsidRPr="00516BAC">
        <w:rPr>
          <w:rFonts w:ascii="Times New Roman" w:hAnsi="Times New Roman" w:cs="Times New Roman"/>
          <w:i/>
          <w:sz w:val="24"/>
          <w:szCs w:val="24"/>
          <w:lang w:val="en-CA"/>
        </w:rPr>
        <w:t>in vitro</w:t>
      </w:r>
      <w:r w:rsidRPr="00516BAC">
        <w:rPr>
          <w:rFonts w:ascii="Times New Roman" w:hAnsi="Times New Roman" w:cs="Times New Roman"/>
          <w:sz w:val="24"/>
          <w:szCs w:val="24"/>
          <w:lang w:val="en-CA"/>
        </w:rPr>
        <w:t xml:space="preserve"> bile acid-binding activity. Addition of 5% of indigestible protein reduced plasma triglyceride and total cholesterol levels when compared to casein diet only in female rats but not in males. We conclude that indigestible black eye bean protein may be effective for lowering plasma cholesterol, indicating a potential function as </w:t>
      </w:r>
      <w:r>
        <w:rPr>
          <w:rFonts w:ascii="Times New Roman" w:hAnsi="Times New Roman" w:cs="Times New Roman"/>
          <w:sz w:val="24"/>
          <w:szCs w:val="24"/>
          <w:lang w:val="en-CA"/>
        </w:rPr>
        <w:t xml:space="preserve">a </w:t>
      </w:r>
      <w:r w:rsidRPr="00516BAC">
        <w:rPr>
          <w:rFonts w:ascii="Times New Roman" w:hAnsi="Times New Roman" w:cs="Times New Roman"/>
          <w:sz w:val="24"/>
          <w:szCs w:val="24"/>
          <w:lang w:val="en-CA"/>
        </w:rPr>
        <w:t>cholesterol-lowering agent for certain segments of the human population.</w:t>
      </w:r>
    </w:p>
    <w:p w:rsidR="005036B9" w:rsidRDefault="005036B9" w:rsidP="002E0723">
      <w:pPr>
        <w:jc w:val="both"/>
        <w:rPr>
          <w:rFonts w:ascii="Times New Roman" w:hAnsi="Times New Roman"/>
          <w:sz w:val="24"/>
          <w:szCs w:val="24"/>
        </w:rPr>
      </w:pPr>
      <w:r w:rsidRPr="005036B9">
        <w:rPr>
          <w:rFonts w:ascii="Times New Roman" w:hAnsi="Times New Roman" w:cs="Times New Roman"/>
          <w:b/>
          <w:noProof/>
          <w:sz w:val="24"/>
          <w:szCs w:val="24"/>
        </w:rPr>
        <w:t>Introduction:</w:t>
      </w:r>
      <w:r w:rsidR="00367675" w:rsidRPr="00367675">
        <w:rPr>
          <w:rFonts w:ascii="Times New Roman" w:hAnsi="Times New Roman"/>
        </w:rPr>
        <w:t xml:space="preserve"> </w:t>
      </w:r>
      <w:r w:rsidR="00367675" w:rsidRPr="00367675">
        <w:rPr>
          <w:rFonts w:ascii="Times New Roman" w:hAnsi="Times New Roman"/>
          <w:sz w:val="24"/>
          <w:szCs w:val="24"/>
        </w:rPr>
        <w:t xml:space="preserve">There is growing interest in the development of functional foods that can prevent or slow down the progression of cardiovascular diseases (CVD). High blood cholesterol level is a well-known risk factor for CVD and several drugs are available to reduce cholesterol synthesis. Similarly, </w:t>
      </w:r>
      <w:proofErr w:type="spellStart"/>
      <w:r w:rsidR="00367675" w:rsidRPr="00367675">
        <w:rPr>
          <w:rFonts w:ascii="Times New Roman" w:hAnsi="Times New Roman"/>
          <w:sz w:val="24"/>
          <w:szCs w:val="24"/>
        </w:rPr>
        <w:t>phytosterols</w:t>
      </w:r>
      <w:proofErr w:type="spellEnd"/>
      <w:r w:rsidR="00367675" w:rsidRPr="00367675">
        <w:rPr>
          <w:rFonts w:ascii="Times New Roman" w:hAnsi="Times New Roman"/>
          <w:sz w:val="24"/>
          <w:szCs w:val="24"/>
        </w:rPr>
        <w:t xml:space="preserve"> have been developed to reduce cholesterol absorption during food digestion. However, a potentially safer and effective method involves the use of protein materials that are resistant to gastrointestinal tract (GIT) digestion. These resistant proteins have a highly hydrophobic character that enables cholesterol binding and elimination through the fecal route. Previous works have shown that certain fractions of legume proteins are resistant to enzymatic digestion even after removal or inactivation of protease inhibitors and lectins. Therefore, oral consumption of legume proteins usually leads to residual protein waste, but the amounts generated from most relevant legume seeds remain unknown. </w:t>
      </w:r>
      <w:r w:rsidR="008C0FBF">
        <w:rPr>
          <w:rFonts w:ascii="Times New Roman" w:hAnsi="Times New Roman"/>
          <w:sz w:val="24"/>
          <w:szCs w:val="24"/>
        </w:rPr>
        <w:t>In this w</w:t>
      </w:r>
      <w:r w:rsidR="00367675" w:rsidRPr="00367675">
        <w:rPr>
          <w:rFonts w:ascii="Times New Roman" w:hAnsi="Times New Roman"/>
          <w:sz w:val="24"/>
          <w:szCs w:val="24"/>
        </w:rPr>
        <w:t>ork</w:t>
      </w:r>
      <w:r w:rsidR="008C0FBF">
        <w:rPr>
          <w:rFonts w:ascii="Times New Roman" w:hAnsi="Times New Roman"/>
          <w:sz w:val="24"/>
          <w:szCs w:val="24"/>
        </w:rPr>
        <w:t>, co</w:t>
      </w:r>
      <w:r w:rsidR="00367675" w:rsidRPr="00367675">
        <w:rPr>
          <w:rFonts w:ascii="Times New Roman" w:hAnsi="Times New Roman"/>
          <w:sz w:val="24"/>
          <w:szCs w:val="24"/>
        </w:rPr>
        <w:t xml:space="preserve">mmonly available food processing methods </w:t>
      </w:r>
      <w:r w:rsidR="008C0FBF">
        <w:rPr>
          <w:rFonts w:ascii="Times New Roman" w:hAnsi="Times New Roman"/>
          <w:sz w:val="24"/>
          <w:szCs w:val="24"/>
        </w:rPr>
        <w:t xml:space="preserve">such as heating (wet and dry), gelation and freeze-thaw were used as pretreatment tools </w:t>
      </w:r>
      <w:r w:rsidR="00367675" w:rsidRPr="00367675">
        <w:rPr>
          <w:rFonts w:ascii="Times New Roman" w:hAnsi="Times New Roman"/>
          <w:sz w:val="24"/>
          <w:szCs w:val="24"/>
        </w:rPr>
        <w:t xml:space="preserve">to </w:t>
      </w:r>
      <w:r w:rsidR="008C0FBF">
        <w:rPr>
          <w:rFonts w:ascii="Times New Roman" w:hAnsi="Times New Roman"/>
          <w:sz w:val="24"/>
          <w:szCs w:val="24"/>
        </w:rPr>
        <w:t xml:space="preserve">reduce protein digestibility and </w:t>
      </w:r>
      <w:r w:rsidR="00367675" w:rsidRPr="00367675">
        <w:rPr>
          <w:rFonts w:ascii="Times New Roman" w:hAnsi="Times New Roman"/>
          <w:sz w:val="24"/>
          <w:szCs w:val="24"/>
        </w:rPr>
        <w:t xml:space="preserve">enhance </w:t>
      </w:r>
      <w:r w:rsidR="008C0FBF">
        <w:rPr>
          <w:rFonts w:ascii="Times New Roman" w:hAnsi="Times New Roman"/>
          <w:sz w:val="24"/>
          <w:szCs w:val="24"/>
        </w:rPr>
        <w:t xml:space="preserve">the </w:t>
      </w:r>
      <w:r w:rsidR="00367675" w:rsidRPr="00367675">
        <w:rPr>
          <w:rFonts w:ascii="Times New Roman" w:hAnsi="Times New Roman"/>
          <w:sz w:val="24"/>
          <w:szCs w:val="24"/>
        </w:rPr>
        <w:t>level of undigested</w:t>
      </w:r>
      <w:r w:rsidR="008C0FBF">
        <w:rPr>
          <w:rFonts w:ascii="Times New Roman" w:hAnsi="Times New Roman"/>
          <w:sz w:val="24"/>
          <w:szCs w:val="24"/>
        </w:rPr>
        <w:t xml:space="preserve"> proteins in legume flours. The</w:t>
      </w:r>
      <w:r w:rsidR="00367675" w:rsidRPr="00367675">
        <w:rPr>
          <w:rFonts w:ascii="Times New Roman" w:hAnsi="Times New Roman"/>
          <w:sz w:val="24"/>
          <w:szCs w:val="24"/>
        </w:rPr>
        <w:t xml:space="preserve"> indigestible protein w</w:t>
      </w:r>
      <w:r w:rsidR="008C0FBF">
        <w:rPr>
          <w:rFonts w:ascii="Times New Roman" w:hAnsi="Times New Roman"/>
          <w:sz w:val="24"/>
          <w:szCs w:val="24"/>
        </w:rPr>
        <w:t xml:space="preserve">ere isolated and tested for in vitro cholesterol-binding properties followed by a rat feeding study to determine actual reduction in blood cholesterol. </w:t>
      </w:r>
    </w:p>
    <w:p w:rsidR="00EC1983" w:rsidRPr="005A3EA0" w:rsidRDefault="00EC1983" w:rsidP="008C0FBF">
      <w:pPr>
        <w:rPr>
          <w:rFonts w:ascii="Times New Roman" w:hAnsi="Times New Roman"/>
          <w:b/>
          <w:sz w:val="24"/>
          <w:szCs w:val="24"/>
        </w:rPr>
      </w:pPr>
      <w:r w:rsidRPr="005A3EA0">
        <w:rPr>
          <w:rFonts w:ascii="Times New Roman" w:hAnsi="Times New Roman"/>
          <w:b/>
          <w:sz w:val="24"/>
          <w:szCs w:val="24"/>
        </w:rPr>
        <w:t>Objectives:</w:t>
      </w:r>
    </w:p>
    <w:p w:rsidR="005A3EA0" w:rsidRPr="005A3EA0" w:rsidRDefault="005A3EA0" w:rsidP="005A3EA0">
      <w:pPr>
        <w:spacing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Pr="005A3EA0">
        <w:rPr>
          <w:rFonts w:ascii="Times New Roman" w:hAnsi="Times New Roman" w:cs="Times New Roman"/>
          <w:sz w:val="24"/>
          <w:szCs w:val="24"/>
          <w:lang w:val="en-CA"/>
        </w:rPr>
        <w:t>Optimize the production of indigestible proteins from pulse seeds using various food processing methods.</w:t>
      </w:r>
    </w:p>
    <w:p w:rsidR="005A3EA0" w:rsidRPr="005A3EA0" w:rsidRDefault="005A3EA0" w:rsidP="005A3EA0">
      <w:pPr>
        <w:spacing w:line="240" w:lineRule="auto"/>
        <w:rPr>
          <w:rFonts w:ascii="Times New Roman" w:hAnsi="Times New Roman" w:cs="Times New Roman"/>
          <w:sz w:val="24"/>
          <w:szCs w:val="24"/>
          <w:lang w:val="en-CA"/>
        </w:rPr>
      </w:pPr>
      <w:r w:rsidRPr="005A3EA0">
        <w:rPr>
          <w:rFonts w:ascii="Times New Roman" w:hAnsi="Times New Roman" w:cs="Times New Roman"/>
          <w:sz w:val="24"/>
          <w:szCs w:val="24"/>
          <w:lang w:val="en-CA"/>
        </w:rPr>
        <w:lastRenderedPageBreak/>
        <w:t>2. Isolate and determine the structural properties of indigestible proteins that maximize cholesterol binding.</w:t>
      </w:r>
    </w:p>
    <w:p w:rsidR="005A3EA0" w:rsidRPr="005A3EA0" w:rsidRDefault="005A3EA0" w:rsidP="005A3EA0">
      <w:pPr>
        <w:spacing w:line="240" w:lineRule="auto"/>
        <w:rPr>
          <w:rFonts w:ascii="Times New Roman" w:hAnsi="Times New Roman" w:cs="Times New Roman"/>
          <w:sz w:val="24"/>
          <w:szCs w:val="24"/>
          <w:lang w:val="en-CA"/>
        </w:rPr>
      </w:pPr>
      <w:r w:rsidRPr="005A3EA0">
        <w:rPr>
          <w:rFonts w:ascii="Times New Roman" w:hAnsi="Times New Roman" w:cs="Times New Roman"/>
          <w:sz w:val="24"/>
          <w:szCs w:val="24"/>
          <w:lang w:val="en-CA"/>
        </w:rPr>
        <w:t xml:space="preserve">3. Determine </w:t>
      </w:r>
      <w:r w:rsidRPr="005A3EA0">
        <w:rPr>
          <w:rFonts w:ascii="Times New Roman" w:hAnsi="Times New Roman" w:cs="Times New Roman"/>
          <w:i/>
          <w:sz w:val="24"/>
          <w:szCs w:val="24"/>
          <w:lang w:val="en-CA"/>
        </w:rPr>
        <w:t>in vitro</w:t>
      </w:r>
      <w:r w:rsidRPr="005A3EA0">
        <w:rPr>
          <w:rFonts w:ascii="Times New Roman" w:hAnsi="Times New Roman" w:cs="Times New Roman"/>
          <w:sz w:val="24"/>
          <w:szCs w:val="24"/>
          <w:lang w:val="en-CA"/>
        </w:rPr>
        <w:t xml:space="preserve"> bile acid-binding ability of isolated indigestible proteins.</w:t>
      </w:r>
    </w:p>
    <w:p w:rsidR="005A3EA0" w:rsidRPr="005A3EA0" w:rsidRDefault="005A3EA0" w:rsidP="005A3EA0">
      <w:pPr>
        <w:spacing w:line="240" w:lineRule="auto"/>
        <w:rPr>
          <w:rFonts w:ascii="Times New Roman" w:hAnsi="Times New Roman" w:cs="Times New Roman"/>
          <w:sz w:val="24"/>
          <w:szCs w:val="24"/>
          <w:lang w:val="en-CA"/>
        </w:rPr>
      </w:pPr>
      <w:r w:rsidRPr="005A3EA0">
        <w:rPr>
          <w:rFonts w:ascii="Times New Roman" w:hAnsi="Times New Roman" w:cs="Times New Roman"/>
          <w:sz w:val="24"/>
          <w:szCs w:val="24"/>
          <w:lang w:val="en-CA"/>
        </w:rPr>
        <w:t>4. Determine actual blood cholesterol-reducing effect and possible mechanism of the indigestible proteins using a rat model.</w:t>
      </w:r>
    </w:p>
    <w:p w:rsidR="005A3EA0" w:rsidRDefault="005A3EA0" w:rsidP="008C0FBF">
      <w:pPr>
        <w:rPr>
          <w:rFonts w:ascii="Times New Roman" w:hAnsi="Times New Roman"/>
          <w:sz w:val="24"/>
          <w:szCs w:val="24"/>
        </w:rPr>
      </w:pPr>
    </w:p>
    <w:p w:rsidR="009963D1" w:rsidRDefault="009963D1" w:rsidP="003B489D">
      <w:pPr>
        <w:jc w:val="both"/>
        <w:rPr>
          <w:rFonts w:ascii="Times New Roman" w:hAnsi="Times New Roman" w:cs="Times New Roman"/>
          <w:sz w:val="24"/>
          <w:szCs w:val="24"/>
        </w:rPr>
      </w:pPr>
      <w:r w:rsidRPr="0000509F">
        <w:rPr>
          <w:rFonts w:ascii="Times New Roman" w:hAnsi="Times New Roman"/>
          <w:b/>
          <w:sz w:val="24"/>
          <w:szCs w:val="24"/>
        </w:rPr>
        <w:t>Materials:</w:t>
      </w:r>
      <w:r>
        <w:rPr>
          <w:rFonts w:ascii="Times New Roman" w:hAnsi="Times New Roman"/>
          <w:sz w:val="24"/>
          <w:szCs w:val="24"/>
        </w:rPr>
        <w:t xml:space="preserve"> </w:t>
      </w:r>
      <w:r w:rsidRPr="009963D1">
        <w:rPr>
          <w:rFonts w:ascii="Times New Roman" w:hAnsi="Times New Roman" w:cs="Times New Roman"/>
          <w:sz w:val="24"/>
          <w:szCs w:val="24"/>
        </w:rPr>
        <w:t>Twelve pulse seeds (soybean, pinto bean, lima bean, black bean, red kidney beans, mung bean, moong dal washed, green split bean, black eye bean, small white bean, green lentil, chick peas) were purchased from a local grocery store in Winnipeg and ground into flours. All samples were stored at -20</w:t>
      </w:r>
      <w:r w:rsidRPr="009963D1">
        <w:rPr>
          <w:rFonts w:ascii="Times New Roman" w:hAnsi="Times New Roman" w:cs="Times New Roman"/>
          <w:sz w:val="24"/>
          <w:szCs w:val="24"/>
          <w:vertAlign w:val="superscript"/>
        </w:rPr>
        <w:t>o</w:t>
      </w:r>
      <w:r w:rsidRPr="009963D1">
        <w:rPr>
          <w:rFonts w:ascii="Times New Roman" w:hAnsi="Times New Roman" w:cs="Times New Roman"/>
          <w:sz w:val="24"/>
          <w:szCs w:val="24"/>
        </w:rPr>
        <w:t>C before the experiment.</w:t>
      </w:r>
    </w:p>
    <w:p w:rsidR="0000509F" w:rsidRPr="0000509F" w:rsidRDefault="0000509F" w:rsidP="003B489D">
      <w:pPr>
        <w:rPr>
          <w:rFonts w:ascii="Times New Roman" w:hAnsi="Times New Roman" w:cs="Times New Roman"/>
          <w:b/>
          <w:sz w:val="24"/>
          <w:szCs w:val="24"/>
        </w:rPr>
      </w:pPr>
      <w:r w:rsidRPr="0000509F">
        <w:rPr>
          <w:rFonts w:ascii="Times New Roman" w:hAnsi="Times New Roman" w:cs="Times New Roman"/>
          <w:b/>
          <w:sz w:val="24"/>
          <w:szCs w:val="24"/>
        </w:rPr>
        <w:t>Methods</w:t>
      </w:r>
    </w:p>
    <w:p w:rsidR="00325CA8" w:rsidRDefault="00325CA8" w:rsidP="003B489D">
      <w:pPr>
        <w:pStyle w:val="Heading3"/>
        <w:spacing w:before="0" w:after="200" w:line="276" w:lineRule="auto"/>
        <w:rPr>
          <w:rFonts w:ascii="Times New Roman" w:hAnsi="Times New Roman" w:cs="Times New Roman"/>
          <w:color w:val="auto"/>
        </w:rPr>
      </w:pPr>
      <w:bookmarkStart w:id="0" w:name="_Toc509324084"/>
      <w:r w:rsidRPr="00325CA8">
        <w:rPr>
          <w:rFonts w:ascii="Times New Roman" w:hAnsi="Times New Roman" w:cs="Times New Roman"/>
          <w:b/>
          <w:color w:val="auto"/>
          <w:lang w:val="en-CA"/>
        </w:rPr>
        <w:t>Protein isolation</w:t>
      </w:r>
      <w:bookmarkEnd w:id="0"/>
      <w:r>
        <w:rPr>
          <w:rFonts w:ascii="Times New Roman" w:hAnsi="Times New Roman" w:cs="Times New Roman"/>
          <w:b/>
          <w:color w:val="auto"/>
          <w:lang w:val="en-CA"/>
        </w:rPr>
        <w:t xml:space="preserve">: </w:t>
      </w:r>
      <w:r w:rsidRPr="00325CA8">
        <w:rPr>
          <w:rFonts w:ascii="Times New Roman" w:hAnsi="Times New Roman" w:cs="Times New Roman"/>
          <w:color w:val="auto"/>
        </w:rPr>
        <w:t xml:space="preserve">Protein isolates from the pulses were produced using isoelectric point precipitation method. Each flour was mixed with water to form </w:t>
      </w:r>
      <w:proofErr w:type="gramStart"/>
      <w:r w:rsidRPr="00325CA8">
        <w:rPr>
          <w:rFonts w:ascii="Times New Roman" w:hAnsi="Times New Roman" w:cs="Times New Roman"/>
          <w:color w:val="auto"/>
        </w:rPr>
        <w:t>a slurry</w:t>
      </w:r>
      <w:proofErr w:type="gramEnd"/>
      <w:r w:rsidRPr="00325CA8">
        <w:rPr>
          <w:rFonts w:ascii="Times New Roman" w:hAnsi="Times New Roman" w:cs="Times New Roman"/>
          <w:color w:val="auto"/>
        </w:rPr>
        <w:t xml:space="preserve"> (5%, w/v) and adjusted to pH 10 using 0.1 M </w:t>
      </w:r>
      <w:proofErr w:type="spellStart"/>
      <w:r w:rsidRPr="00325CA8">
        <w:rPr>
          <w:rFonts w:ascii="Times New Roman" w:hAnsi="Times New Roman" w:cs="Times New Roman"/>
          <w:color w:val="auto"/>
        </w:rPr>
        <w:t>NaOH</w:t>
      </w:r>
      <w:proofErr w:type="spellEnd"/>
      <w:r w:rsidRPr="00325CA8">
        <w:rPr>
          <w:rFonts w:ascii="Times New Roman" w:hAnsi="Times New Roman" w:cs="Times New Roman"/>
          <w:color w:val="auto"/>
        </w:rPr>
        <w:t xml:space="preserve"> to solubilize the proteins. The mixture was stirred for 1 h at room temperature and then centrifuged (10,000</w:t>
      </w:r>
      <w:r w:rsidRPr="00325CA8">
        <w:rPr>
          <w:rFonts w:ascii="Times New Roman" w:hAnsi="Times New Roman" w:cs="Times New Roman"/>
          <w:i/>
          <w:color w:val="auto"/>
        </w:rPr>
        <w:t>g</w:t>
      </w:r>
      <w:r w:rsidRPr="00325CA8">
        <w:rPr>
          <w:rFonts w:ascii="Times New Roman" w:hAnsi="Times New Roman" w:cs="Times New Roman"/>
          <w:color w:val="auto"/>
        </w:rPr>
        <w:t xml:space="preserve"> for 30 min at 4</w:t>
      </w:r>
      <w:r w:rsidRPr="00325CA8">
        <w:rPr>
          <w:rFonts w:ascii="Times New Roman" w:hAnsi="Times New Roman" w:cs="Times New Roman"/>
          <w:color w:val="auto"/>
          <w:vertAlign w:val="superscript"/>
        </w:rPr>
        <w:t>o</w:t>
      </w:r>
      <w:r w:rsidRPr="00325CA8">
        <w:rPr>
          <w:rFonts w:ascii="Times New Roman" w:hAnsi="Times New Roman" w:cs="Times New Roman"/>
          <w:color w:val="auto"/>
        </w:rPr>
        <w:t xml:space="preserve">C). The supernatant (containing the proteins) was acidified to pH 4.3 using 0.1 M </w:t>
      </w:r>
      <w:proofErr w:type="spellStart"/>
      <w:r w:rsidRPr="00325CA8">
        <w:rPr>
          <w:rFonts w:ascii="Times New Roman" w:hAnsi="Times New Roman" w:cs="Times New Roman"/>
          <w:color w:val="auto"/>
        </w:rPr>
        <w:t>HCl</w:t>
      </w:r>
      <w:proofErr w:type="spellEnd"/>
      <w:r w:rsidRPr="00325CA8">
        <w:rPr>
          <w:rFonts w:ascii="Times New Roman" w:hAnsi="Times New Roman" w:cs="Times New Roman"/>
          <w:color w:val="auto"/>
        </w:rPr>
        <w:t xml:space="preserve">, which precipitated the proteins. This was followed by centrifugation, washing of the precipitate with water, and freeze-drying to obtain the dried protein isolate. </w:t>
      </w:r>
      <w:bookmarkStart w:id="1" w:name="_Toc509324085"/>
    </w:p>
    <w:p w:rsidR="00325CA8" w:rsidRPr="00325CA8" w:rsidRDefault="00325CA8" w:rsidP="003B489D">
      <w:pPr>
        <w:pStyle w:val="Heading3"/>
        <w:spacing w:before="0" w:after="200" w:line="276" w:lineRule="auto"/>
        <w:rPr>
          <w:rFonts w:ascii="Times New Roman" w:hAnsi="Times New Roman" w:cs="Times New Roman"/>
          <w:b/>
          <w:color w:val="auto"/>
          <w:lang w:val="en-CA"/>
        </w:rPr>
      </w:pPr>
      <w:r w:rsidRPr="00325CA8">
        <w:rPr>
          <w:rFonts w:ascii="Times New Roman" w:hAnsi="Times New Roman" w:cs="Times New Roman"/>
          <w:b/>
          <w:color w:val="auto"/>
          <w:lang w:val="en-CA"/>
        </w:rPr>
        <w:t>Protein pre-treatments</w:t>
      </w:r>
      <w:bookmarkEnd w:id="1"/>
      <w:r>
        <w:rPr>
          <w:rFonts w:ascii="Times New Roman" w:hAnsi="Times New Roman" w:cs="Times New Roman"/>
          <w:b/>
          <w:color w:val="auto"/>
          <w:lang w:val="en-CA"/>
        </w:rPr>
        <w:t xml:space="preserve">: </w:t>
      </w:r>
      <w:r w:rsidRPr="00325CA8">
        <w:rPr>
          <w:rFonts w:ascii="Times New Roman" w:hAnsi="Times New Roman" w:cs="Times New Roman"/>
          <w:color w:val="auto"/>
        </w:rPr>
        <w:t>Each protein isolate was subjected to the following treatments:</w:t>
      </w:r>
    </w:p>
    <w:p w:rsidR="00325CA8" w:rsidRPr="00325CA8" w:rsidRDefault="00325CA8" w:rsidP="003B489D">
      <w:pPr>
        <w:pStyle w:val="ListParagraph"/>
        <w:numPr>
          <w:ilvl w:val="0"/>
          <w:numId w:val="3"/>
        </w:numPr>
        <w:spacing w:line="276" w:lineRule="auto"/>
        <w:rPr>
          <w:rFonts w:ascii="Times New Roman" w:hAnsi="Times New Roman" w:cs="Times New Roman"/>
          <w:sz w:val="24"/>
          <w:szCs w:val="24"/>
          <w:lang w:val="en-CA"/>
        </w:rPr>
      </w:pPr>
      <w:r w:rsidRPr="00325CA8">
        <w:rPr>
          <w:rFonts w:ascii="Times New Roman" w:hAnsi="Times New Roman" w:cs="Times New Roman"/>
          <w:sz w:val="24"/>
          <w:szCs w:val="24"/>
        </w:rPr>
        <w:t xml:space="preserve">Wet heat: 10% (w/v) aqueous slurry of each protein isolate was prepared in beaker, placed in boiling water for 30 min, and cooled. </w:t>
      </w:r>
    </w:p>
    <w:p w:rsidR="00325CA8" w:rsidRPr="00325CA8" w:rsidRDefault="00325CA8" w:rsidP="003B489D">
      <w:pPr>
        <w:pStyle w:val="ListParagraph"/>
        <w:numPr>
          <w:ilvl w:val="0"/>
          <w:numId w:val="3"/>
        </w:numPr>
        <w:spacing w:line="276" w:lineRule="auto"/>
        <w:rPr>
          <w:rFonts w:ascii="Times New Roman" w:hAnsi="Times New Roman" w:cs="Times New Roman"/>
          <w:sz w:val="24"/>
          <w:szCs w:val="24"/>
        </w:rPr>
      </w:pPr>
      <w:r w:rsidRPr="00325CA8">
        <w:rPr>
          <w:rFonts w:ascii="Times New Roman" w:hAnsi="Times New Roman" w:cs="Times New Roman"/>
          <w:sz w:val="24"/>
          <w:szCs w:val="24"/>
          <w:lang w:val="en-CA"/>
        </w:rPr>
        <w:t>Autoclave</w:t>
      </w:r>
      <w:r w:rsidRPr="00325CA8">
        <w:rPr>
          <w:rFonts w:ascii="Times New Roman" w:hAnsi="Times New Roman" w:cs="Times New Roman"/>
          <w:sz w:val="24"/>
          <w:szCs w:val="24"/>
        </w:rPr>
        <w:t>: 10% (w/v) aqueous slurry each protein isolate was prepared in reagent a bottle, placed in autoclave at 120</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 xml:space="preserve">C for 20 min, and cooled. </w:t>
      </w:r>
    </w:p>
    <w:p w:rsidR="00325CA8" w:rsidRPr="00325CA8" w:rsidRDefault="00325CA8" w:rsidP="003B489D">
      <w:pPr>
        <w:pStyle w:val="ListParagraph"/>
        <w:numPr>
          <w:ilvl w:val="0"/>
          <w:numId w:val="3"/>
        </w:numPr>
        <w:spacing w:line="276" w:lineRule="auto"/>
        <w:rPr>
          <w:rFonts w:ascii="Times New Roman" w:hAnsi="Times New Roman" w:cs="Times New Roman"/>
          <w:sz w:val="24"/>
          <w:szCs w:val="24"/>
        </w:rPr>
      </w:pPr>
      <w:r w:rsidRPr="00325CA8">
        <w:rPr>
          <w:rFonts w:ascii="Times New Roman" w:hAnsi="Times New Roman" w:cs="Times New Roman"/>
          <w:sz w:val="24"/>
          <w:szCs w:val="24"/>
        </w:rPr>
        <w:t>Dry heat: 5 g of the protein isolate was spread evenly in a glass petri-dish, covered and placed in an oven at 100</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 xml:space="preserve">C for 12 h or 24 h; samples were then cooled at room temperature and stored in the freezer. </w:t>
      </w:r>
    </w:p>
    <w:p w:rsidR="00325CA8" w:rsidRPr="00325CA8" w:rsidRDefault="00325CA8" w:rsidP="003B489D">
      <w:pPr>
        <w:pStyle w:val="ListParagraph"/>
        <w:numPr>
          <w:ilvl w:val="0"/>
          <w:numId w:val="3"/>
        </w:numPr>
        <w:spacing w:line="276" w:lineRule="auto"/>
        <w:rPr>
          <w:rFonts w:ascii="Times New Roman" w:hAnsi="Times New Roman" w:cs="Times New Roman"/>
          <w:sz w:val="24"/>
          <w:szCs w:val="24"/>
        </w:rPr>
      </w:pPr>
      <w:r w:rsidRPr="00325CA8">
        <w:rPr>
          <w:rFonts w:ascii="Times New Roman" w:hAnsi="Times New Roman" w:cs="Times New Roman"/>
          <w:sz w:val="24"/>
          <w:szCs w:val="24"/>
        </w:rPr>
        <w:t xml:space="preserve">Freeze-thaw: 10% (w/v) aqueous slurry was prepared in </w:t>
      </w:r>
      <w:r>
        <w:rPr>
          <w:rFonts w:ascii="Times New Roman" w:hAnsi="Times New Roman" w:cs="Times New Roman"/>
          <w:sz w:val="24"/>
          <w:szCs w:val="24"/>
        </w:rPr>
        <w:t xml:space="preserve">a </w:t>
      </w:r>
      <w:r w:rsidRPr="00325CA8">
        <w:rPr>
          <w:rFonts w:ascii="Times New Roman" w:hAnsi="Times New Roman" w:cs="Times New Roman"/>
          <w:sz w:val="24"/>
          <w:szCs w:val="24"/>
        </w:rPr>
        <w:t>sealed plastic bottle. After being frozen for 24 h, sample</w:t>
      </w:r>
      <w:r>
        <w:rPr>
          <w:rFonts w:ascii="Times New Roman" w:hAnsi="Times New Roman" w:cs="Times New Roman"/>
          <w:sz w:val="24"/>
          <w:szCs w:val="24"/>
        </w:rPr>
        <w:t>s were</w:t>
      </w:r>
      <w:r w:rsidRPr="00325CA8">
        <w:rPr>
          <w:rFonts w:ascii="Times New Roman" w:hAnsi="Times New Roman" w:cs="Times New Roman"/>
          <w:sz w:val="24"/>
          <w:szCs w:val="24"/>
        </w:rPr>
        <w:t xml:space="preserve"> placed at room temperature to thaw rapidly. The thawed sample</w:t>
      </w:r>
      <w:r>
        <w:rPr>
          <w:rFonts w:ascii="Times New Roman" w:hAnsi="Times New Roman" w:cs="Times New Roman"/>
          <w:sz w:val="24"/>
          <w:szCs w:val="24"/>
        </w:rPr>
        <w:t>s</w:t>
      </w:r>
      <w:r w:rsidRPr="00325CA8">
        <w:rPr>
          <w:rFonts w:ascii="Times New Roman" w:hAnsi="Times New Roman" w:cs="Times New Roman"/>
          <w:sz w:val="24"/>
          <w:szCs w:val="24"/>
        </w:rPr>
        <w:t xml:space="preserve"> w</w:t>
      </w:r>
      <w:r>
        <w:rPr>
          <w:rFonts w:ascii="Times New Roman" w:hAnsi="Times New Roman" w:cs="Times New Roman"/>
          <w:sz w:val="24"/>
          <w:szCs w:val="24"/>
        </w:rPr>
        <w:t>ere then</w:t>
      </w:r>
      <w:r w:rsidRPr="00325CA8">
        <w:rPr>
          <w:rFonts w:ascii="Times New Roman" w:hAnsi="Times New Roman" w:cs="Times New Roman"/>
          <w:sz w:val="24"/>
          <w:szCs w:val="24"/>
        </w:rPr>
        <w:t xml:space="preserve"> placed in the freezer for 24 h, thawed again and repeated for a 3rd cycle.</w:t>
      </w:r>
    </w:p>
    <w:p w:rsidR="00325CA8" w:rsidRPr="00325CA8" w:rsidRDefault="00325CA8" w:rsidP="003B489D">
      <w:pPr>
        <w:pStyle w:val="ListParagraph"/>
        <w:numPr>
          <w:ilvl w:val="0"/>
          <w:numId w:val="3"/>
        </w:numPr>
        <w:spacing w:line="276" w:lineRule="auto"/>
        <w:rPr>
          <w:rFonts w:ascii="Times New Roman" w:hAnsi="Times New Roman" w:cs="Times New Roman"/>
          <w:sz w:val="24"/>
          <w:szCs w:val="24"/>
        </w:rPr>
      </w:pPr>
      <w:r w:rsidRPr="00325CA8">
        <w:rPr>
          <w:rFonts w:ascii="Times New Roman" w:hAnsi="Times New Roman" w:cs="Times New Roman"/>
          <w:sz w:val="24"/>
          <w:szCs w:val="24"/>
        </w:rPr>
        <w:t>Gelation: The least gelation concentration (LGC) of the samples was determined to be used for the gelation treatment. The protein isolates were suspended in water at concentrations of 8%-20%, w/v dry weight in glass test tubes. Then, the sealed test tubes were heated in water bath at 95</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 xml:space="preserve">C for 1 </w:t>
      </w:r>
      <w:proofErr w:type="gramStart"/>
      <w:r w:rsidRPr="00325CA8">
        <w:rPr>
          <w:rFonts w:ascii="Times New Roman" w:hAnsi="Times New Roman" w:cs="Times New Roman"/>
          <w:sz w:val="24"/>
          <w:szCs w:val="24"/>
        </w:rPr>
        <w:t>h,</w:t>
      </w:r>
      <w:proofErr w:type="gramEnd"/>
      <w:r w:rsidRPr="00325CA8">
        <w:rPr>
          <w:rFonts w:ascii="Times New Roman" w:hAnsi="Times New Roman" w:cs="Times New Roman"/>
          <w:sz w:val="24"/>
          <w:szCs w:val="24"/>
        </w:rPr>
        <w:t xml:space="preserve"> the mixtures were cooled and kept in the refrigerator (4</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 xml:space="preserve">C) for 14 h. The lowest concentration at which the gel did not flow when the tube was inverted was considered the LGC, and was used for the gelation treatment. The treatment was done as described above, but the cooling process involved slow cooling (under tap water) and rapid </w:t>
      </w:r>
      <w:r w:rsidRPr="00325CA8">
        <w:rPr>
          <w:rFonts w:ascii="Times New Roman" w:hAnsi="Times New Roman" w:cs="Times New Roman"/>
          <w:sz w:val="24"/>
          <w:szCs w:val="24"/>
        </w:rPr>
        <w:lastRenderedPageBreak/>
        <w:t>cooling (at -20</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C)</w:t>
      </w:r>
      <w:r w:rsidRPr="00325CA8">
        <w:rPr>
          <w:rFonts w:ascii="Times New Roman" w:eastAsia="Microsoft YaHei" w:hAnsi="Times New Roman" w:cs="Times New Roman"/>
          <w:sz w:val="24"/>
          <w:szCs w:val="24"/>
        </w:rPr>
        <w:t>.</w:t>
      </w:r>
    </w:p>
    <w:p w:rsidR="00842C7A" w:rsidRDefault="00325CA8" w:rsidP="003B489D">
      <w:pPr>
        <w:rPr>
          <w:rFonts w:ascii="Times New Roman" w:hAnsi="Times New Roman" w:cs="Times New Roman"/>
          <w:sz w:val="24"/>
          <w:szCs w:val="24"/>
        </w:rPr>
      </w:pPr>
      <w:r w:rsidRPr="00325CA8">
        <w:rPr>
          <w:rFonts w:ascii="Times New Roman" w:hAnsi="Times New Roman" w:cs="Times New Roman"/>
          <w:sz w:val="24"/>
          <w:szCs w:val="24"/>
        </w:rPr>
        <w:t>Every treatment for each protein sample was duplicated and the pretreated samples were freeze-dried and stored in the freezer for further use.</w:t>
      </w:r>
      <w:bookmarkStart w:id="2" w:name="_Toc509324086"/>
    </w:p>
    <w:p w:rsidR="006A29C6" w:rsidRDefault="00325CA8" w:rsidP="003B489D">
      <w:pPr>
        <w:jc w:val="both"/>
        <w:rPr>
          <w:rFonts w:ascii="Times New Roman" w:hAnsi="Times New Roman" w:cs="Times New Roman"/>
          <w:sz w:val="24"/>
          <w:szCs w:val="24"/>
        </w:rPr>
      </w:pPr>
      <w:r w:rsidRPr="00325CA8">
        <w:rPr>
          <w:rFonts w:ascii="Times New Roman" w:hAnsi="Times New Roman" w:cs="Times New Roman"/>
          <w:b/>
          <w:lang w:val="en-CA"/>
        </w:rPr>
        <w:t>Preparation of indigestible proteins</w:t>
      </w:r>
      <w:bookmarkEnd w:id="2"/>
      <w:r w:rsidR="00DA4D8D">
        <w:rPr>
          <w:rFonts w:ascii="Times New Roman" w:hAnsi="Times New Roman" w:cs="Times New Roman"/>
          <w:b/>
          <w:lang w:val="en-CA"/>
        </w:rPr>
        <w:t xml:space="preserve">: </w:t>
      </w:r>
      <w:r w:rsidRPr="00325CA8">
        <w:rPr>
          <w:rFonts w:ascii="Times New Roman" w:hAnsi="Times New Roman" w:cs="Times New Roman"/>
          <w:sz w:val="24"/>
          <w:szCs w:val="24"/>
        </w:rPr>
        <w:t xml:space="preserve">The pretreated samples were subjected to simulated </w:t>
      </w:r>
      <w:r w:rsidR="00E6625A">
        <w:rPr>
          <w:rFonts w:ascii="Times New Roman" w:hAnsi="Times New Roman" w:cs="Times New Roman"/>
        </w:rPr>
        <w:t>gastrointestinal tract (</w:t>
      </w:r>
      <w:r w:rsidRPr="00325CA8">
        <w:rPr>
          <w:rFonts w:ascii="Times New Roman" w:hAnsi="Times New Roman" w:cs="Times New Roman"/>
          <w:sz w:val="24"/>
          <w:szCs w:val="24"/>
        </w:rPr>
        <w:t>GIT</w:t>
      </w:r>
      <w:r w:rsidR="00E6625A">
        <w:rPr>
          <w:rFonts w:ascii="Times New Roman" w:hAnsi="Times New Roman" w:cs="Times New Roman"/>
        </w:rPr>
        <w:t>)</w:t>
      </w:r>
      <w:r w:rsidRPr="00325CA8">
        <w:rPr>
          <w:rFonts w:ascii="Times New Roman" w:hAnsi="Times New Roman" w:cs="Times New Roman"/>
          <w:sz w:val="24"/>
          <w:szCs w:val="24"/>
        </w:rPr>
        <w:t xml:space="preserve"> digestion as </w:t>
      </w:r>
      <w:r w:rsidR="00E6625A">
        <w:rPr>
          <w:rFonts w:ascii="Times New Roman" w:hAnsi="Times New Roman" w:cs="Times New Roman"/>
        </w:rPr>
        <w:t>follows</w:t>
      </w:r>
      <w:r w:rsidRPr="00325CA8">
        <w:rPr>
          <w:rFonts w:ascii="Times New Roman" w:hAnsi="Times New Roman" w:cs="Times New Roman"/>
          <w:sz w:val="24"/>
          <w:szCs w:val="24"/>
        </w:rPr>
        <w:t>. Briefly, a suspension of the protein isolates (10%, w/v) was prepared and hydrolyzed with pepsin (1%, w/w) at 37</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C</w:t>
      </w:r>
      <w:r w:rsidRPr="00325CA8">
        <w:rPr>
          <w:rFonts w:ascii="Times New Roman" w:eastAsia="Microsoft YaHei" w:hAnsi="Times New Roman" w:cs="Times New Roman"/>
          <w:sz w:val="24"/>
          <w:szCs w:val="24"/>
          <w:lang w:val="en-CA"/>
        </w:rPr>
        <w:t xml:space="preserve">, </w:t>
      </w:r>
      <w:r w:rsidRPr="00325CA8">
        <w:rPr>
          <w:rFonts w:ascii="Times New Roman" w:hAnsi="Times New Roman" w:cs="Times New Roman"/>
          <w:sz w:val="24"/>
          <w:szCs w:val="24"/>
        </w:rPr>
        <w:t xml:space="preserve">pH 2.0 for 2 h, and was followed by </w:t>
      </w:r>
      <w:proofErr w:type="spellStart"/>
      <w:r w:rsidRPr="00325CA8">
        <w:rPr>
          <w:rFonts w:ascii="Times New Roman" w:hAnsi="Times New Roman" w:cs="Times New Roman"/>
          <w:sz w:val="24"/>
          <w:szCs w:val="24"/>
        </w:rPr>
        <w:t>pancreatin</w:t>
      </w:r>
      <w:proofErr w:type="spellEnd"/>
      <w:r w:rsidRPr="00325CA8">
        <w:rPr>
          <w:rFonts w:ascii="Times New Roman" w:hAnsi="Times New Roman" w:cs="Times New Roman"/>
          <w:sz w:val="24"/>
          <w:szCs w:val="24"/>
        </w:rPr>
        <w:t xml:space="preserve"> (1%, w/w) hydrolysis at 37</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C</w:t>
      </w:r>
      <w:r w:rsidRPr="00325CA8">
        <w:rPr>
          <w:rFonts w:ascii="Times New Roman" w:eastAsia="Microsoft YaHei" w:hAnsi="Times New Roman" w:cs="Times New Roman"/>
          <w:sz w:val="24"/>
          <w:szCs w:val="24"/>
          <w:lang w:val="en-CA"/>
        </w:rPr>
        <w:t xml:space="preserve">, </w:t>
      </w:r>
      <w:r w:rsidRPr="00325CA8">
        <w:rPr>
          <w:rFonts w:ascii="Times New Roman" w:hAnsi="Times New Roman" w:cs="Times New Roman"/>
          <w:sz w:val="24"/>
          <w:szCs w:val="24"/>
        </w:rPr>
        <w:t xml:space="preserve">pH 7.5 for 4 h. The mixtures were centrifuged and the residues containing </w:t>
      </w:r>
      <w:r w:rsidR="00E6625A">
        <w:rPr>
          <w:rFonts w:ascii="Times New Roman" w:hAnsi="Times New Roman" w:cs="Times New Roman"/>
        </w:rPr>
        <w:t>u</w:t>
      </w:r>
      <w:r w:rsidRPr="00325CA8">
        <w:rPr>
          <w:rFonts w:ascii="Times New Roman" w:hAnsi="Times New Roman" w:cs="Times New Roman"/>
          <w:sz w:val="24"/>
          <w:szCs w:val="24"/>
        </w:rPr>
        <w:t>ndigested proteins were washed twice with water and centrifuged again. Then, they were freeze-dried and stored at -20</w:t>
      </w:r>
      <w:r w:rsidRPr="00325CA8">
        <w:rPr>
          <w:rFonts w:ascii="Times New Roman" w:hAnsi="Times New Roman" w:cs="Times New Roman"/>
          <w:sz w:val="24"/>
          <w:szCs w:val="24"/>
          <w:vertAlign w:val="superscript"/>
        </w:rPr>
        <w:t>o</w:t>
      </w:r>
      <w:r w:rsidRPr="00325CA8">
        <w:rPr>
          <w:rFonts w:ascii="Times New Roman" w:hAnsi="Times New Roman" w:cs="Times New Roman"/>
          <w:sz w:val="24"/>
          <w:szCs w:val="24"/>
        </w:rPr>
        <w:t>C</w:t>
      </w:r>
      <w:r w:rsidR="00E6625A">
        <w:rPr>
          <w:rFonts w:ascii="Times New Roman" w:hAnsi="Times New Roman" w:cs="Times New Roman"/>
        </w:rPr>
        <w:t xml:space="preserve"> as the indigestible proteins</w:t>
      </w:r>
      <w:r w:rsidRPr="00325CA8">
        <w:rPr>
          <w:rFonts w:ascii="Times New Roman" w:hAnsi="Times New Roman" w:cs="Times New Roman"/>
          <w:sz w:val="24"/>
          <w:szCs w:val="24"/>
        </w:rPr>
        <w:t>. The protein digestion was done in duplicate.</w:t>
      </w:r>
      <w:bookmarkStart w:id="3" w:name="_Toc509324088"/>
    </w:p>
    <w:p w:rsidR="006A29C6" w:rsidRDefault="00604B6C" w:rsidP="003B489D">
      <w:pPr>
        <w:jc w:val="both"/>
        <w:rPr>
          <w:rFonts w:ascii="Times New Roman" w:hAnsi="Times New Roman" w:cs="Times New Roman"/>
          <w:sz w:val="24"/>
          <w:szCs w:val="24"/>
        </w:rPr>
      </w:pPr>
      <w:r w:rsidRPr="00604B6C">
        <w:rPr>
          <w:rFonts w:ascii="Times New Roman" w:hAnsi="Times New Roman" w:cs="Times New Roman"/>
          <w:b/>
          <w:lang w:val="en-CA"/>
        </w:rPr>
        <w:t>Determination of surface hydrophobicity (S</w:t>
      </w:r>
      <w:r w:rsidRPr="00604B6C">
        <w:rPr>
          <w:rFonts w:ascii="Times New Roman" w:hAnsi="Times New Roman" w:cs="Times New Roman"/>
          <w:b/>
          <w:vertAlign w:val="subscript"/>
          <w:lang w:val="en-CA"/>
        </w:rPr>
        <w:t>o</w:t>
      </w:r>
      <w:r w:rsidRPr="00604B6C">
        <w:rPr>
          <w:rFonts w:ascii="Times New Roman" w:hAnsi="Times New Roman" w:cs="Times New Roman"/>
          <w:b/>
          <w:lang w:val="en-CA"/>
        </w:rPr>
        <w:t>)</w:t>
      </w:r>
      <w:bookmarkEnd w:id="3"/>
      <w:r>
        <w:rPr>
          <w:rFonts w:ascii="Times New Roman" w:hAnsi="Times New Roman" w:cs="Times New Roman"/>
          <w:b/>
          <w:lang w:val="en-CA"/>
        </w:rPr>
        <w:t xml:space="preserve">: </w:t>
      </w:r>
      <w:r w:rsidRPr="00604B6C">
        <w:rPr>
          <w:rFonts w:ascii="Times New Roman" w:hAnsi="Times New Roman" w:cs="Times New Roman"/>
          <w:sz w:val="24"/>
          <w:szCs w:val="24"/>
          <w:lang w:val="en-CA"/>
        </w:rPr>
        <w:t>S</w:t>
      </w:r>
      <w:proofErr w:type="spellStart"/>
      <w:r w:rsidRPr="00604B6C">
        <w:rPr>
          <w:rFonts w:ascii="Times New Roman" w:hAnsi="Times New Roman" w:cs="Times New Roman"/>
          <w:sz w:val="24"/>
          <w:szCs w:val="24"/>
        </w:rPr>
        <w:t>urface</w:t>
      </w:r>
      <w:proofErr w:type="spellEnd"/>
      <w:r w:rsidRPr="00604B6C">
        <w:rPr>
          <w:rFonts w:ascii="Times New Roman" w:hAnsi="Times New Roman" w:cs="Times New Roman"/>
          <w:sz w:val="24"/>
          <w:szCs w:val="24"/>
        </w:rPr>
        <w:t xml:space="preserve"> hydrophobicity of the indigestible proteins was determined </w:t>
      </w:r>
      <w:r>
        <w:rPr>
          <w:rFonts w:ascii="Times New Roman" w:hAnsi="Times New Roman" w:cs="Times New Roman"/>
        </w:rPr>
        <w:t>as follows.</w:t>
      </w:r>
      <w:r w:rsidRPr="00604B6C">
        <w:rPr>
          <w:rFonts w:ascii="Times New Roman" w:hAnsi="Times New Roman" w:cs="Times New Roman"/>
          <w:sz w:val="24"/>
          <w:szCs w:val="24"/>
        </w:rPr>
        <w:t xml:space="preserve"> Indigestible protein stock solutions (1%, w/w) were prepared and diluted to 0.005% to 0.025% (w/v) protein concentration, using 0.01 M phosphate buffer (pH 7.0). Fluorescence intensity (</w:t>
      </w:r>
      <w:proofErr w:type="spellStart"/>
      <w:r w:rsidRPr="00604B6C">
        <w:rPr>
          <w:rFonts w:ascii="Times New Roman" w:hAnsi="Times New Roman" w:cs="Times New Roman"/>
          <w:sz w:val="24"/>
          <w:szCs w:val="24"/>
        </w:rPr>
        <w:t>FI</w:t>
      </w:r>
      <w:r>
        <w:rPr>
          <w:rFonts w:ascii="Times New Roman" w:hAnsi="Times New Roman" w:cs="Times New Roman"/>
          <w:vertAlign w:val="subscript"/>
        </w:rPr>
        <w:t>o</w:t>
      </w:r>
      <w:proofErr w:type="spellEnd"/>
      <w:r w:rsidRPr="00604B6C">
        <w:rPr>
          <w:rFonts w:ascii="Times New Roman" w:hAnsi="Times New Roman" w:cs="Times New Roman"/>
          <w:sz w:val="24"/>
          <w:szCs w:val="24"/>
        </w:rPr>
        <w:t xml:space="preserve">) of the diluted samples was recorded using a </w:t>
      </w:r>
      <w:proofErr w:type="spellStart"/>
      <w:r w:rsidRPr="00604B6C">
        <w:rPr>
          <w:rFonts w:ascii="Times New Roman" w:hAnsi="Times New Roman" w:cs="Times New Roman"/>
          <w:sz w:val="24"/>
          <w:szCs w:val="24"/>
        </w:rPr>
        <w:t>Jasco</w:t>
      </w:r>
      <w:proofErr w:type="spellEnd"/>
      <w:r w:rsidRPr="00604B6C">
        <w:rPr>
          <w:rFonts w:ascii="Times New Roman" w:hAnsi="Times New Roman" w:cs="Times New Roman"/>
          <w:sz w:val="24"/>
          <w:szCs w:val="24"/>
        </w:rPr>
        <w:t xml:space="preserve"> FP-6300 </w:t>
      </w:r>
      <w:proofErr w:type="spellStart"/>
      <w:r w:rsidRPr="00604B6C">
        <w:rPr>
          <w:rFonts w:ascii="Times New Roman" w:hAnsi="Times New Roman" w:cs="Times New Roman"/>
          <w:sz w:val="24"/>
          <w:szCs w:val="24"/>
        </w:rPr>
        <w:t>spectrofluorometer</w:t>
      </w:r>
      <w:proofErr w:type="spellEnd"/>
      <w:r w:rsidRPr="00604B6C">
        <w:rPr>
          <w:rFonts w:ascii="Times New Roman" w:hAnsi="Times New Roman" w:cs="Times New Roman"/>
          <w:sz w:val="24"/>
          <w:szCs w:val="24"/>
        </w:rPr>
        <w:t xml:space="preserve"> (</w:t>
      </w:r>
      <w:proofErr w:type="spellStart"/>
      <w:r w:rsidRPr="00604B6C">
        <w:rPr>
          <w:rFonts w:ascii="Times New Roman" w:hAnsi="Times New Roman" w:cs="Times New Roman"/>
          <w:sz w:val="24"/>
          <w:szCs w:val="24"/>
        </w:rPr>
        <w:t>Jasco</w:t>
      </w:r>
      <w:proofErr w:type="spellEnd"/>
      <w:r w:rsidRPr="00604B6C">
        <w:rPr>
          <w:rFonts w:ascii="Times New Roman" w:hAnsi="Times New Roman" w:cs="Times New Roman"/>
          <w:sz w:val="24"/>
          <w:szCs w:val="24"/>
        </w:rPr>
        <w:t xml:space="preserve"> Inc., Tokyo, Japan) at excitation wavelength of 390 nm and emission wavelength of 470 nm. Then, 20</w:t>
      </w:r>
      <w:r w:rsidRPr="00604B6C">
        <w:rPr>
          <w:rFonts w:ascii="Times New Roman" w:hAnsi="Times New Roman" w:cs="Times New Roman"/>
          <w:sz w:val="24"/>
          <w:szCs w:val="24"/>
          <w:lang w:val="en-CA"/>
        </w:rPr>
        <w:t xml:space="preserve"> µ</w:t>
      </w:r>
      <w:r w:rsidRPr="00604B6C">
        <w:rPr>
          <w:rFonts w:ascii="Times New Roman" w:hAnsi="Times New Roman" w:cs="Times New Roman"/>
          <w:sz w:val="24"/>
          <w:szCs w:val="24"/>
        </w:rPr>
        <w:t xml:space="preserve">L of 8-Anilinonaphthalene-1-sulfonic acid (ANS) solution (8.0 </w:t>
      </w:r>
      <w:proofErr w:type="spellStart"/>
      <w:r w:rsidRPr="00604B6C">
        <w:rPr>
          <w:rFonts w:ascii="Times New Roman" w:hAnsi="Times New Roman" w:cs="Times New Roman"/>
          <w:sz w:val="24"/>
          <w:szCs w:val="24"/>
        </w:rPr>
        <w:t>mM</w:t>
      </w:r>
      <w:proofErr w:type="spellEnd"/>
      <w:r w:rsidRPr="00604B6C">
        <w:rPr>
          <w:rFonts w:ascii="Times New Roman" w:hAnsi="Times New Roman" w:cs="Times New Roman"/>
          <w:sz w:val="24"/>
          <w:szCs w:val="24"/>
        </w:rPr>
        <w:t xml:space="preserve"> in 0.01 M phosphate buffer, pH 7.0) was added to 4 mL of the diluted samples and vortexed. Fluorescence intensity (FI</w:t>
      </w:r>
      <w:r w:rsidRPr="00604B6C">
        <w:rPr>
          <w:rFonts w:ascii="Times New Roman" w:hAnsi="Times New Roman" w:cs="Times New Roman"/>
          <w:sz w:val="24"/>
          <w:szCs w:val="24"/>
          <w:vertAlign w:val="subscript"/>
        </w:rPr>
        <w:t>A</w:t>
      </w:r>
      <w:r w:rsidRPr="00604B6C">
        <w:rPr>
          <w:rFonts w:ascii="Times New Roman" w:hAnsi="Times New Roman" w:cs="Times New Roman"/>
          <w:sz w:val="24"/>
          <w:szCs w:val="24"/>
        </w:rPr>
        <w:t>) of the mixture was measured immediately at the same condition described above. The initial slope of the plot of net FI (FI</w:t>
      </w:r>
      <w:r w:rsidRPr="00604B6C">
        <w:rPr>
          <w:rFonts w:ascii="Times New Roman" w:hAnsi="Times New Roman" w:cs="Times New Roman"/>
          <w:sz w:val="24"/>
          <w:szCs w:val="24"/>
          <w:vertAlign w:val="subscript"/>
        </w:rPr>
        <w:t>A</w:t>
      </w:r>
      <w:r w:rsidRPr="00604B6C">
        <w:rPr>
          <w:rFonts w:ascii="Times New Roman" w:hAnsi="Times New Roman" w:cs="Times New Roman"/>
          <w:sz w:val="24"/>
          <w:szCs w:val="24"/>
        </w:rPr>
        <w:t>-</w:t>
      </w:r>
      <w:proofErr w:type="spellStart"/>
      <w:r w:rsidRPr="00604B6C">
        <w:rPr>
          <w:rFonts w:ascii="Times New Roman" w:hAnsi="Times New Roman" w:cs="Times New Roman"/>
          <w:sz w:val="24"/>
          <w:szCs w:val="24"/>
        </w:rPr>
        <w:t>FI</w:t>
      </w:r>
      <w:r>
        <w:rPr>
          <w:rFonts w:ascii="Times New Roman" w:hAnsi="Times New Roman" w:cs="Times New Roman"/>
          <w:vertAlign w:val="subscript"/>
        </w:rPr>
        <w:t>o</w:t>
      </w:r>
      <w:proofErr w:type="spellEnd"/>
      <w:r w:rsidRPr="00604B6C">
        <w:rPr>
          <w:rFonts w:ascii="Times New Roman" w:hAnsi="Times New Roman" w:cs="Times New Roman"/>
          <w:sz w:val="24"/>
          <w:szCs w:val="24"/>
        </w:rPr>
        <w:t xml:space="preserve">) versus protein concentration calculated by linear regression analysis was used as an index of </w:t>
      </w:r>
      <w:r>
        <w:rPr>
          <w:rFonts w:ascii="Times New Roman" w:hAnsi="Times New Roman" w:cs="Times New Roman"/>
        </w:rPr>
        <w:t>S</w:t>
      </w:r>
      <w:r w:rsidRPr="00604B6C">
        <w:rPr>
          <w:rFonts w:ascii="Times New Roman" w:hAnsi="Times New Roman" w:cs="Times New Roman"/>
          <w:vertAlign w:val="subscript"/>
        </w:rPr>
        <w:t>o</w:t>
      </w:r>
      <w:r w:rsidRPr="00604B6C">
        <w:rPr>
          <w:rFonts w:ascii="Times New Roman" w:hAnsi="Times New Roman" w:cs="Times New Roman"/>
          <w:sz w:val="24"/>
          <w:szCs w:val="24"/>
        </w:rPr>
        <w:t>.</w:t>
      </w:r>
      <w:bookmarkStart w:id="4" w:name="_Toc509324089"/>
    </w:p>
    <w:p w:rsidR="006A29C6" w:rsidRDefault="00604B6C" w:rsidP="003B489D">
      <w:pPr>
        <w:jc w:val="both"/>
        <w:rPr>
          <w:rFonts w:ascii="Times New Roman" w:hAnsi="Times New Roman" w:cs="Times New Roman"/>
          <w:sz w:val="24"/>
          <w:szCs w:val="24"/>
        </w:rPr>
      </w:pPr>
      <w:r w:rsidRPr="00604B6C">
        <w:rPr>
          <w:rFonts w:ascii="Times New Roman" w:hAnsi="Times New Roman" w:cs="Times New Roman"/>
          <w:b/>
          <w:lang w:val="en-CA"/>
        </w:rPr>
        <w:t xml:space="preserve">Determination of </w:t>
      </w:r>
      <w:r w:rsidRPr="00604B6C">
        <w:rPr>
          <w:rFonts w:ascii="Times New Roman" w:hAnsi="Times New Roman" w:cs="Times New Roman"/>
          <w:b/>
          <w:i/>
          <w:lang w:val="en-CA"/>
        </w:rPr>
        <w:t>in vitro</w:t>
      </w:r>
      <w:r w:rsidRPr="00604B6C">
        <w:rPr>
          <w:rFonts w:ascii="Times New Roman" w:hAnsi="Times New Roman" w:cs="Times New Roman"/>
          <w:b/>
          <w:lang w:val="en-CA"/>
        </w:rPr>
        <w:t xml:space="preserve"> bile acid-binding capacity</w:t>
      </w:r>
      <w:bookmarkEnd w:id="4"/>
      <w:r w:rsidR="0093137F">
        <w:rPr>
          <w:rFonts w:ascii="Times New Roman" w:hAnsi="Times New Roman" w:cs="Times New Roman"/>
          <w:b/>
          <w:lang w:val="en-CA"/>
        </w:rPr>
        <w:t xml:space="preserve">: </w:t>
      </w:r>
      <w:r w:rsidRPr="0093137F">
        <w:rPr>
          <w:rFonts w:ascii="Times New Roman" w:hAnsi="Times New Roman" w:cs="Times New Roman"/>
          <w:sz w:val="24"/>
          <w:szCs w:val="24"/>
        </w:rPr>
        <w:t xml:space="preserve">The ability of the indigestible proteins to bind bile acids was determined as </w:t>
      </w:r>
      <w:r w:rsidR="0093137F">
        <w:rPr>
          <w:rFonts w:ascii="Times New Roman" w:hAnsi="Times New Roman" w:cs="Times New Roman"/>
        </w:rPr>
        <w:t>follow</w:t>
      </w:r>
      <w:r w:rsidRPr="0093137F">
        <w:rPr>
          <w:rFonts w:ascii="Times New Roman" w:hAnsi="Times New Roman" w:cs="Times New Roman"/>
          <w:sz w:val="24"/>
          <w:szCs w:val="24"/>
        </w:rPr>
        <w:t xml:space="preserve">s. The bile acid mixture (2 </w:t>
      </w:r>
      <w:proofErr w:type="spellStart"/>
      <w:r w:rsidRPr="0093137F">
        <w:rPr>
          <w:rFonts w:ascii="Times New Roman" w:hAnsi="Times New Roman" w:cs="Times New Roman"/>
          <w:sz w:val="24"/>
          <w:szCs w:val="24"/>
        </w:rPr>
        <w:t>mM</w:t>
      </w:r>
      <w:proofErr w:type="spellEnd"/>
      <w:r w:rsidRPr="0093137F">
        <w:rPr>
          <w:rFonts w:ascii="Times New Roman" w:hAnsi="Times New Roman" w:cs="Times New Roman"/>
          <w:sz w:val="24"/>
          <w:szCs w:val="24"/>
        </w:rPr>
        <w:t xml:space="preserve">) consisted of </w:t>
      </w:r>
      <w:proofErr w:type="spellStart"/>
      <w:r w:rsidRPr="0093137F">
        <w:rPr>
          <w:rFonts w:ascii="Times New Roman" w:hAnsi="Times New Roman" w:cs="Times New Roman"/>
          <w:sz w:val="24"/>
          <w:szCs w:val="24"/>
        </w:rPr>
        <w:t>glycocholic</w:t>
      </w:r>
      <w:proofErr w:type="spellEnd"/>
      <w:r w:rsidRPr="0093137F">
        <w:rPr>
          <w:rFonts w:ascii="Times New Roman" w:hAnsi="Times New Roman" w:cs="Times New Roman"/>
          <w:sz w:val="24"/>
          <w:szCs w:val="24"/>
        </w:rPr>
        <w:t xml:space="preserve"> acid, </w:t>
      </w:r>
      <w:proofErr w:type="spellStart"/>
      <w:r w:rsidRPr="0093137F">
        <w:rPr>
          <w:rFonts w:ascii="Times New Roman" w:hAnsi="Times New Roman" w:cs="Times New Roman"/>
          <w:sz w:val="24"/>
          <w:szCs w:val="24"/>
        </w:rPr>
        <w:t>glycochenocholic</w:t>
      </w:r>
      <w:proofErr w:type="spellEnd"/>
      <w:r w:rsidRPr="0093137F">
        <w:rPr>
          <w:rFonts w:ascii="Times New Roman" w:hAnsi="Times New Roman" w:cs="Times New Roman"/>
          <w:sz w:val="24"/>
          <w:szCs w:val="24"/>
        </w:rPr>
        <w:t xml:space="preserve"> acid, </w:t>
      </w:r>
      <w:proofErr w:type="spellStart"/>
      <w:r w:rsidRPr="0093137F">
        <w:rPr>
          <w:rFonts w:ascii="Times New Roman" w:hAnsi="Times New Roman" w:cs="Times New Roman"/>
          <w:sz w:val="24"/>
          <w:szCs w:val="24"/>
        </w:rPr>
        <w:t>glycodeoxycholic</w:t>
      </w:r>
      <w:proofErr w:type="spellEnd"/>
      <w:r w:rsidRPr="0093137F">
        <w:rPr>
          <w:rFonts w:ascii="Times New Roman" w:hAnsi="Times New Roman" w:cs="Times New Roman"/>
          <w:sz w:val="24"/>
          <w:szCs w:val="24"/>
        </w:rPr>
        <w:t xml:space="preserve"> acid, </w:t>
      </w:r>
      <w:proofErr w:type="spellStart"/>
      <w:r w:rsidRPr="0093137F">
        <w:rPr>
          <w:rFonts w:ascii="Times New Roman" w:hAnsi="Times New Roman" w:cs="Times New Roman"/>
          <w:sz w:val="24"/>
          <w:szCs w:val="24"/>
        </w:rPr>
        <w:t>taurocholic</w:t>
      </w:r>
      <w:proofErr w:type="spellEnd"/>
      <w:r w:rsidRPr="0093137F">
        <w:rPr>
          <w:rFonts w:ascii="Times New Roman" w:hAnsi="Times New Roman" w:cs="Times New Roman"/>
          <w:sz w:val="24"/>
          <w:szCs w:val="24"/>
        </w:rPr>
        <w:t xml:space="preserve"> acid, </w:t>
      </w:r>
      <w:proofErr w:type="spellStart"/>
      <w:r w:rsidRPr="0093137F">
        <w:rPr>
          <w:rFonts w:ascii="Times New Roman" w:hAnsi="Times New Roman" w:cs="Times New Roman"/>
          <w:sz w:val="24"/>
          <w:szCs w:val="24"/>
        </w:rPr>
        <w:t>taurochenocholic</w:t>
      </w:r>
      <w:proofErr w:type="spellEnd"/>
      <w:r w:rsidRPr="0093137F">
        <w:rPr>
          <w:rFonts w:ascii="Times New Roman" w:hAnsi="Times New Roman" w:cs="Times New Roman"/>
          <w:sz w:val="24"/>
          <w:szCs w:val="24"/>
        </w:rPr>
        <w:t xml:space="preserve"> acid and </w:t>
      </w:r>
      <w:proofErr w:type="spellStart"/>
      <w:r w:rsidRPr="0093137F">
        <w:rPr>
          <w:rFonts w:ascii="Times New Roman" w:hAnsi="Times New Roman" w:cs="Times New Roman"/>
          <w:sz w:val="24"/>
          <w:szCs w:val="24"/>
        </w:rPr>
        <w:t>taurodeoxycholic</w:t>
      </w:r>
      <w:proofErr w:type="spellEnd"/>
      <w:r w:rsidRPr="0093137F">
        <w:rPr>
          <w:rFonts w:ascii="Times New Roman" w:hAnsi="Times New Roman" w:cs="Times New Roman"/>
          <w:sz w:val="24"/>
          <w:szCs w:val="24"/>
        </w:rPr>
        <w:t xml:space="preserve"> acid in 0.1 M phosphate buffer (pH 7). The mixture contained glycine- and taurine-conjugated bile acids at the ratio of 3:1, based on the composition of human bile acids. Sample suspension (20 mg/ml) was prepared by mixing indigestible protein with the phosphate buffer. Sample (100 µL) and 900 µL of bile acid mixture were mixed and incubated in a water bath at 37</w:t>
      </w:r>
      <w:r w:rsidRPr="0093137F">
        <w:rPr>
          <w:rFonts w:ascii="Times New Roman" w:hAnsi="Times New Roman" w:cs="Times New Roman"/>
          <w:sz w:val="24"/>
          <w:szCs w:val="24"/>
          <w:vertAlign w:val="superscript"/>
        </w:rPr>
        <w:t>o</w:t>
      </w:r>
      <w:r w:rsidRPr="0093137F">
        <w:rPr>
          <w:rFonts w:ascii="Times New Roman" w:hAnsi="Times New Roman" w:cs="Times New Roman"/>
          <w:sz w:val="24"/>
          <w:szCs w:val="24"/>
        </w:rPr>
        <w:t>C for 2 h, followed by centrifugation. The supernatant was transferred into a 5-mL volumetric flask. Then, 1 mL of phosphate buffer was added to the residue, washed, mixed, and centrifuged. The supernatant was combined with the previous one in the flask. The concentration of bile acids was measured at 540 nm using commercial bile acid assay kit. Cholestyramine resin, a drug that binds bile acid and lowers blood cholesterol was used as a reference. All analyses were performed in duplicate. The bile acid-binding activity was calculated as: bile acid binding activity (%) = (</w:t>
      </w:r>
      <w:proofErr w:type="spellStart"/>
      <w:r w:rsidRPr="0093137F">
        <w:rPr>
          <w:rFonts w:ascii="Times New Roman" w:hAnsi="Times New Roman" w:cs="Times New Roman"/>
          <w:sz w:val="24"/>
          <w:szCs w:val="24"/>
        </w:rPr>
        <w:t>A</w:t>
      </w:r>
      <w:r w:rsidRPr="0093137F">
        <w:rPr>
          <w:rFonts w:ascii="Times New Roman" w:hAnsi="Times New Roman" w:cs="Times New Roman"/>
          <w:sz w:val="24"/>
          <w:szCs w:val="24"/>
          <w:vertAlign w:val="subscript"/>
        </w:rPr>
        <w:t>mixture</w:t>
      </w:r>
      <w:proofErr w:type="spellEnd"/>
      <w:r w:rsidRPr="0093137F">
        <w:rPr>
          <w:rFonts w:ascii="Times New Roman" w:hAnsi="Times New Roman" w:cs="Times New Roman"/>
          <w:sz w:val="24"/>
          <w:szCs w:val="24"/>
        </w:rPr>
        <w:t xml:space="preserve"> - </w:t>
      </w:r>
      <w:proofErr w:type="spellStart"/>
      <w:r w:rsidRPr="0093137F">
        <w:rPr>
          <w:rFonts w:ascii="Times New Roman" w:hAnsi="Times New Roman" w:cs="Times New Roman"/>
          <w:sz w:val="24"/>
          <w:szCs w:val="24"/>
        </w:rPr>
        <w:t>A</w:t>
      </w:r>
      <w:r w:rsidRPr="0093137F">
        <w:rPr>
          <w:rFonts w:ascii="Times New Roman" w:hAnsi="Times New Roman" w:cs="Times New Roman"/>
          <w:sz w:val="24"/>
          <w:szCs w:val="24"/>
          <w:vertAlign w:val="subscript"/>
        </w:rPr>
        <w:t>supernatant</w:t>
      </w:r>
      <w:proofErr w:type="spellEnd"/>
      <w:r w:rsidRPr="0093137F">
        <w:rPr>
          <w:rFonts w:ascii="Times New Roman" w:hAnsi="Times New Roman" w:cs="Times New Roman"/>
          <w:sz w:val="24"/>
          <w:szCs w:val="24"/>
        </w:rPr>
        <w:t>)/A</w:t>
      </w:r>
      <w:r w:rsidRPr="0093137F">
        <w:rPr>
          <w:rFonts w:ascii="Times New Roman" w:hAnsi="Times New Roman" w:cs="Times New Roman"/>
          <w:sz w:val="24"/>
          <w:szCs w:val="24"/>
          <w:vertAlign w:val="subscript"/>
        </w:rPr>
        <w:t>mixture</w:t>
      </w:r>
      <w:r w:rsidRPr="0093137F">
        <w:rPr>
          <w:rFonts w:ascii="Times New Roman" w:hAnsi="Times New Roman" w:cs="Times New Roman"/>
          <w:sz w:val="24"/>
          <w:szCs w:val="24"/>
        </w:rPr>
        <w:t xml:space="preserve">×100, where </w:t>
      </w:r>
      <w:proofErr w:type="spellStart"/>
      <w:r w:rsidRPr="0093137F">
        <w:rPr>
          <w:rFonts w:ascii="Times New Roman" w:hAnsi="Times New Roman" w:cs="Times New Roman"/>
          <w:sz w:val="24"/>
          <w:szCs w:val="24"/>
        </w:rPr>
        <w:t>A</w:t>
      </w:r>
      <w:r w:rsidRPr="0093137F">
        <w:rPr>
          <w:rFonts w:ascii="Times New Roman" w:hAnsi="Times New Roman" w:cs="Times New Roman"/>
          <w:sz w:val="24"/>
          <w:szCs w:val="24"/>
          <w:vertAlign w:val="subscript"/>
        </w:rPr>
        <w:t>mixture</w:t>
      </w:r>
      <w:proofErr w:type="spellEnd"/>
      <w:r w:rsidRPr="0093137F">
        <w:rPr>
          <w:rFonts w:ascii="Times New Roman" w:hAnsi="Times New Roman" w:cs="Times New Roman"/>
          <w:sz w:val="24"/>
          <w:szCs w:val="24"/>
        </w:rPr>
        <w:t xml:space="preserve"> refers to the bile acid concentration in the mixture and </w:t>
      </w:r>
      <w:proofErr w:type="spellStart"/>
      <w:r w:rsidRPr="0093137F">
        <w:rPr>
          <w:rFonts w:ascii="Times New Roman" w:hAnsi="Times New Roman" w:cs="Times New Roman"/>
          <w:sz w:val="24"/>
          <w:szCs w:val="24"/>
        </w:rPr>
        <w:t>A</w:t>
      </w:r>
      <w:r w:rsidRPr="0093137F">
        <w:rPr>
          <w:rFonts w:ascii="Times New Roman" w:hAnsi="Times New Roman" w:cs="Times New Roman"/>
          <w:sz w:val="24"/>
          <w:szCs w:val="24"/>
          <w:vertAlign w:val="subscript"/>
        </w:rPr>
        <w:t>supernatant</w:t>
      </w:r>
      <w:proofErr w:type="spellEnd"/>
      <w:r w:rsidRPr="0093137F">
        <w:rPr>
          <w:rFonts w:ascii="Times New Roman" w:hAnsi="Times New Roman" w:cs="Times New Roman"/>
          <w:sz w:val="24"/>
          <w:szCs w:val="24"/>
        </w:rPr>
        <w:t xml:space="preserve"> is the bile acid concentration in the supernatant. </w:t>
      </w:r>
      <w:bookmarkStart w:id="5" w:name="_Toc509324093"/>
    </w:p>
    <w:p w:rsidR="0078032F" w:rsidRPr="00104346" w:rsidRDefault="0078032F" w:rsidP="003B489D">
      <w:pPr>
        <w:jc w:val="both"/>
        <w:rPr>
          <w:rFonts w:ascii="Times New Roman" w:hAnsi="Times New Roman" w:cs="Times New Roman"/>
        </w:rPr>
      </w:pPr>
      <w:r w:rsidRPr="0078032F">
        <w:rPr>
          <w:rFonts w:ascii="Times New Roman" w:hAnsi="Times New Roman" w:cs="Times New Roman"/>
          <w:b/>
          <w:sz w:val="24"/>
          <w:szCs w:val="24"/>
          <w:lang w:val="en-CA"/>
        </w:rPr>
        <w:t>Rat feeding experiment</w:t>
      </w:r>
      <w:bookmarkEnd w:id="5"/>
      <w:r>
        <w:rPr>
          <w:rFonts w:ascii="Times New Roman" w:hAnsi="Times New Roman" w:cs="Times New Roman"/>
          <w:b/>
          <w:lang w:val="en-CA"/>
        </w:rPr>
        <w:t xml:space="preserve">: </w:t>
      </w:r>
      <w:r w:rsidRPr="0078032F">
        <w:rPr>
          <w:rFonts w:ascii="Times New Roman" w:hAnsi="Times New Roman" w:cs="Times New Roman"/>
          <w:sz w:val="24"/>
          <w:szCs w:val="24"/>
        </w:rPr>
        <w:t xml:space="preserve">Male and female Sprague-Dawley Rats (6 </w:t>
      </w:r>
      <w:proofErr w:type="spellStart"/>
      <w:r w:rsidRPr="0078032F">
        <w:rPr>
          <w:rFonts w:ascii="Times New Roman" w:hAnsi="Times New Roman" w:cs="Times New Roman"/>
          <w:sz w:val="24"/>
          <w:szCs w:val="24"/>
        </w:rPr>
        <w:t>wks</w:t>
      </w:r>
      <w:proofErr w:type="spellEnd"/>
      <w:r w:rsidRPr="0078032F">
        <w:rPr>
          <w:rFonts w:ascii="Times New Roman" w:hAnsi="Times New Roman" w:cs="Times New Roman"/>
          <w:sz w:val="24"/>
          <w:szCs w:val="24"/>
        </w:rPr>
        <w:t xml:space="preserve"> old) were fed with standard AIN-93G diet.</w:t>
      </w:r>
      <w:r w:rsidR="00F97F0E">
        <w:rPr>
          <w:rFonts w:ascii="Times New Roman" w:hAnsi="Times New Roman" w:cs="Times New Roman"/>
        </w:rPr>
        <w:t xml:space="preserve"> </w:t>
      </w:r>
      <w:r w:rsidRPr="0078032F">
        <w:rPr>
          <w:rFonts w:ascii="Times New Roman" w:hAnsi="Times New Roman" w:cs="Times New Roman"/>
          <w:sz w:val="24"/>
          <w:szCs w:val="24"/>
        </w:rPr>
        <w:t xml:space="preserve">Rats were provided with normal diet for 1 week before given the experimental diet and housed individually at 23°C with a 12-h light−dark cycle in an animal </w:t>
      </w:r>
      <w:r w:rsidRPr="0078032F">
        <w:rPr>
          <w:rFonts w:ascii="Times New Roman" w:hAnsi="Times New Roman" w:cs="Times New Roman"/>
          <w:sz w:val="24"/>
          <w:szCs w:val="24"/>
        </w:rPr>
        <w:lastRenderedPageBreak/>
        <w:t xml:space="preserve">room. There were four groups with 6 rats (3 male + 3 female) per group. The diet of each group (Table </w:t>
      </w:r>
      <w:r w:rsidR="00104346">
        <w:rPr>
          <w:rFonts w:ascii="Times New Roman" w:hAnsi="Times New Roman" w:cs="Times New Roman"/>
          <w:sz w:val="24"/>
          <w:szCs w:val="24"/>
        </w:rPr>
        <w:t>1</w:t>
      </w:r>
      <w:r w:rsidRPr="0078032F">
        <w:rPr>
          <w:rFonts w:ascii="Times New Roman" w:hAnsi="Times New Roman" w:cs="Times New Roman"/>
          <w:sz w:val="24"/>
          <w:szCs w:val="24"/>
        </w:rPr>
        <w:t xml:space="preserve">) was: group 1, standard balanced diet with 20% casein; group 2, 19% casein + 1% isolated resistant protein; group 3, 15% casein + 5% isolated resistant protein; group 4, 15% casein + 5% (w/w) native protein isolate </w:t>
      </w:r>
      <w:r w:rsidRPr="0078032F">
        <w:rPr>
          <w:rFonts w:ascii="Times New Roman" w:hAnsi="Times New Roman" w:cs="Times New Roman"/>
          <w:sz w:val="24"/>
          <w:szCs w:val="24"/>
        </w:rPr>
        <w:fldChar w:fldCharType="begin" w:fldLock="1"/>
      </w:r>
      <w:r w:rsidRPr="0078032F">
        <w:rPr>
          <w:rFonts w:ascii="Times New Roman" w:hAnsi="Times New Roman" w:cs="Times New Roman"/>
          <w:sz w:val="24"/>
          <w:szCs w:val="24"/>
        </w:rPr>
        <w:instrText>ADDIN CSL_CITATION { "citationItems" : [ { "id" : "ITEM-1", "itemData" : { "ISBN" : "1060-3271 (Print)\r1060-3271", "PMID" : "15287681", "abstract" : "Animal studies have shown conclusively that feeding of resistant starch (RS) increases production of large bowel total short-chain fatty acids (SCFAs). However, fermentation products of RS may be affected considerably by other dietary ingredients. In rats fed a 20% high-amylose cornstarch (HAS) with casein as the sole protein source, greater cecal SCFAs production was observed compared with that in rats fed a regular cornstarch diet. However, with this diet, the cecal succinate production was also very high. In contrast, when rice or potato protein with lower digestibility was used in place of casein, cecal succinate production decreased with a concomitant increase in butyrate. These observations suggest that nondigested protein, namely resistant protein, might play a role in correcting an imbalance in the ratio of carbohydrate and nitrogen as fermentative substrates for cecal bacteria and in promoting butyrate production. Epidemiological and biochemical data indicate a possible linkage between the fermentation products of starch (butyrate in particular) and the prevention of colorectal cancer as well as ulcerative colits. Accordingly, a fermentation strategy of RS favoring SCFA production should be established to elucidate the potentially beneficial effects of SCFAs on large bowel physiology.", "author" : [ { "dropping-particle" : "", "family" : "Morita", "given" : "T", "non-dropping-particle" : "", "parse-names" : false, "suffix" : "" }, { "dropping-particle" : "", "family" : "Kasaoka", "given" : "S", "non-dropping-particle" : "", "parse-names" : false, "suffix" : "" }, { "dropping-particle" : "", "family" : "Kiriyama", "given" : "S", "non-dropping-particle" : "", "parse-names" : false, "suffix" : "" } ], "container-title" : "J AOAC Int", "edition" : "2004/08/04", "id" : "ITEM-1", "issue" : "3", "issued" : { "date-parts" : [ [ "2004" ] ] }, "language" : "Eng", "note" : "Morita, Tatsuya\nKasaoka, Seiichi\nKiriyama, Shuhachi\nJournal Article\nReview\nUnited States\nJ AOAC Int. 2004 May-Jun;87(3):792-6.", "page" : "792-796", "title" : "Physiological functions of resistant proteins: proteins and peptides regulating large bowel fermentation of indigestible polysaccharide", "type" : "article-journal", "volume" : "87" }, "uris" : [ "http://www.mendeley.com/documents/?uuid=51fe54df-47fb-48c5-b720-e7abd7556c38" ] } ], "mendeley" : { "formattedCitation" : "(Morita et al., 2004)", "plainTextFormattedCitation" : "(Morita et al., 2004)", "previouslyFormattedCitation" : "(Morita et al., 2004)" }, "properties" : {  }, "schema" : "https://github.com/citation-style-language/schema/raw/master/csl-citation.json" }</w:instrText>
      </w:r>
      <w:r w:rsidRPr="0078032F">
        <w:rPr>
          <w:rFonts w:ascii="Times New Roman" w:hAnsi="Times New Roman" w:cs="Times New Roman"/>
          <w:sz w:val="24"/>
          <w:szCs w:val="24"/>
        </w:rPr>
        <w:fldChar w:fldCharType="separate"/>
      </w:r>
      <w:r w:rsidRPr="0078032F">
        <w:rPr>
          <w:rFonts w:ascii="Times New Roman" w:hAnsi="Times New Roman" w:cs="Times New Roman"/>
          <w:noProof/>
          <w:sz w:val="24"/>
          <w:szCs w:val="24"/>
        </w:rPr>
        <w:t>(Morita et al., 2004)</w:t>
      </w:r>
      <w:r w:rsidRPr="0078032F">
        <w:rPr>
          <w:rFonts w:ascii="Times New Roman" w:hAnsi="Times New Roman" w:cs="Times New Roman"/>
          <w:sz w:val="24"/>
          <w:szCs w:val="24"/>
        </w:rPr>
        <w:fldChar w:fldCharType="end"/>
      </w:r>
      <w:r w:rsidRPr="0078032F">
        <w:rPr>
          <w:rFonts w:ascii="Times New Roman" w:hAnsi="Times New Roman" w:cs="Times New Roman"/>
          <w:sz w:val="24"/>
          <w:szCs w:val="24"/>
        </w:rPr>
        <w:t xml:space="preserve">. All the diets contained 0.125% sodium cholate and 0.5% cholesterol (to induce hypercholesterolemia). </w:t>
      </w:r>
      <w:r w:rsidRPr="0078032F">
        <w:rPr>
          <w:rFonts w:ascii="Times New Roman" w:hAnsi="Times New Roman" w:cs="Times New Roman"/>
          <w:i/>
          <w:sz w:val="24"/>
          <w:szCs w:val="24"/>
        </w:rPr>
        <w:t>Ad libitum</w:t>
      </w:r>
      <w:r w:rsidRPr="0078032F">
        <w:rPr>
          <w:rFonts w:ascii="Times New Roman" w:hAnsi="Times New Roman" w:cs="Times New Roman"/>
          <w:sz w:val="24"/>
          <w:szCs w:val="24"/>
        </w:rPr>
        <w:t xml:space="preserve"> feed and water were provided. Experiment was carried out for 6 weeks during which feces were collected</w:t>
      </w:r>
      <w:r w:rsidR="00850248">
        <w:rPr>
          <w:rFonts w:ascii="Times New Roman" w:hAnsi="Times New Roman" w:cs="Times New Roman"/>
        </w:rPr>
        <w:t xml:space="preserve"> </w:t>
      </w:r>
      <w:r w:rsidRPr="0078032F">
        <w:rPr>
          <w:rFonts w:ascii="Times New Roman" w:hAnsi="Times New Roman" w:cs="Times New Roman"/>
          <w:sz w:val="24"/>
          <w:szCs w:val="24"/>
        </w:rPr>
        <w:t xml:space="preserve">every week and blood was collected weekly from the jugular vein under light anesthesia using isoflurane. Body weight and feed consumption were recorded weekly as well. At end of the experiment, the blood was collected </w:t>
      </w:r>
      <w:r w:rsidRPr="0078032F">
        <w:rPr>
          <w:rFonts w:ascii="Times New Roman" w:hAnsi="Times New Roman" w:cs="Times New Roman"/>
          <w:i/>
          <w:sz w:val="24"/>
          <w:szCs w:val="24"/>
        </w:rPr>
        <w:t>via</w:t>
      </w:r>
      <w:r w:rsidRPr="0078032F">
        <w:rPr>
          <w:rFonts w:ascii="Times New Roman" w:hAnsi="Times New Roman" w:cs="Times New Roman"/>
          <w:sz w:val="24"/>
          <w:szCs w:val="24"/>
        </w:rPr>
        <w:t xml:space="preserve"> cardiac puncture under deep anesthesia and rats were subjected to euthanasia. Fecal samples were freeze-dried and analyzed for </w:t>
      </w:r>
      <w:r w:rsidR="00850248">
        <w:rPr>
          <w:rFonts w:ascii="Times New Roman" w:hAnsi="Times New Roman" w:cs="Times New Roman"/>
        </w:rPr>
        <w:t>further analysis</w:t>
      </w:r>
      <w:r w:rsidRPr="0078032F">
        <w:rPr>
          <w:rFonts w:ascii="Times New Roman" w:hAnsi="Times New Roman" w:cs="Times New Roman"/>
          <w:sz w:val="24"/>
          <w:szCs w:val="24"/>
        </w:rPr>
        <w:t>. Total triglycerides and total cholesterol assay of blood (plasma) samples were measured using commercial kits. All rat experiments were approved by the University of Manitoba Animal Ethics Committee.</w:t>
      </w:r>
      <w:r w:rsidR="00850248" w:rsidRPr="00850248">
        <w:rPr>
          <w:rFonts w:ascii="Times New Roman" w:hAnsi="Times New Roman" w:cs="Times New Roman"/>
          <w:sz w:val="24"/>
          <w:szCs w:val="24"/>
        </w:rPr>
        <w:t xml:space="preserve"> </w:t>
      </w:r>
      <w:r w:rsidR="00850248" w:rsidRPr="0078032F">
        <w:rPr>
          <w:rFonts w:ascii="Times New Roman" w:hAnsi="Times New Roman" w:cs="Times New Roman"/>
          <w:sz w:val="24"/>
          <w:szCs w:val="24"/>
        </w:rPr>
        <w:t>Blood samples were preserved in blood collection tube</w:t>
      </w:r>
      <w:r w:rsidR="00850248">
        <w:rPr>
          <w:rFonts w:ascii="Times New Roman" w:hAnsi="Times New Roman" w:cs="Times New Roman"/>
          <w:sz w:val="24"/>
          <w:szCs w:val="24"/>
        </w:rPr>
        <w:t>s</w:t>
      </w:r>
      <w:r w:rsidR="00850248" w:rsidRPr="0078032F">
        <w:rPr>
          <w:rFonts w:ascii="Times New Roman" w:hAnsi="Times New Roman" w:cs="Times New Roman"/>
          <w:sz w:val="24"/>
          <w:szCs w:val="24"/>
        </w:rPr>
        <w:t xml:space="preserve"> with EDTA. After centrifugation (1000 g, 4</w:t>
      </w:r>
      <w:r w:rsidR="00850248" w:rsidRPr="0078032F">
        <w:rPr>
          <w:rFonts w:ascii="Times New Roman" w:hAnsi="Times New Roman" w:cs="Times New Roman"/>
          <w:sz w:val="24"/>
          <w:szCs w:val="24"/>
          <w:vertAlign w:val="superscript"/>
        </w:rPr>
        <w:t>o</w:t>
      </w:r>
      <w:r w:rsidR="00850248" w:rsidRPr="0078032F">
        <w:rPr>
          <w:rFonts w:ascii="Times New Roman" w:hAnsi="Times New Roman" w:cs="Times New Roman"/>
          <w:sz w:val="24"/>
          <w:szCs w:val="24"/>
        </w:rPr>
        <w:t>C for 10 min), aliquot of the clear supernatant (yellow plasma layer) was transferred to a centrifuge tube and stored at -80</w:t>
      </w:r>
      <w:r w:rsidR="00850248" w:rsidRPr="0078032F">
        <w:rPr>
          <w:rFonts w:ascii="Times New Roman" w:hAnsi="Times New Roman" w:cs="Times New Roman"/>
          <w:sz w:val="24"/>
          <w:szCs w:val="24"/>
          <w:vertAlign w:val="superscript"/>
        </w:rPr>
        <w:t>o</w:t>
      </w:r>
      <w:r w:rsidR="00850248" w:rsidRPr="0078032F">
        <w:rPr>
          <w:rFonts w:ascii="Times New Roman" w:hAnsi="Times New Roman" w:cs="Times New Roman"/>
          <w:sz w:val="24"/>
          <w:szCs w:val="24"/>
        </w:rPr>
        <w:t>C.</w:t>
      </w:r>
    </w:p>
    <w:p w:rsidR="0078032F" w:rsidRPr="0078032F" w:rsidRDefault="0078032F" w:rsidP="0078032F">
      <w:pPr>
        <w:spacing w:after="0" w:line="240" w:lineRule="auto"/>
        <w:ind w:firstLine="420"/>
        <w:rPr>
          <w:rFonts w:ascii="Times New Roman" w:hAnsi="Times New Roman" w:cs="Times New Roman"/>
          <w:sz w:val="24"/>
          <w:szCs w:val="24"/>
        </w:rPr>
      </w:pPr>
    </w:p>
    <w:p w:rsidR="0078032F" w:rsidRPr="0078032F" w:rsidRDefault="0078032F" w:rsidP="0078032F">
      <w:pPr>
        <w:pStyle w:val="Caption"/>
        <w:keepNext/>
        <w:spacing w:after="0"/>
        <w:rPr>
          <w:rFonts w:ascii="Times New Roman" w:hAnsi="Times New Roman" w:cs="Times New Roman"/>
          <w:b/>
          <w:color w:val="auto"/>
          <w:sz w:val="24"/>
          <w:szCs w:val="24"/>
        </w:rPr>
      </w:pPr>
      <w:bookmarkStart w:id="6" w:name="_Toc509323986"/>
      <w:r w:rsidRPr="0078032F">
        <w:rPr>
          <w:rFonts w:ascii="Times New Roman" w:hAnsi="Times New Roman" w:cs="Times New Roman"/>
          <w:b/>
          <w:color w:val="auto"/>
          <w:sz w:val="24"/>
          <w:szCs w:val="24"/>
        </w:rPr>
        <w:t xml:space="preserve">Table </w:t>
      </w:r>
      <w:r w:rsidR="00842C7A">
        <w:rPr>
          <w:rFonts w:ascii="Times New Roman" w:hAnsi="Times New Roman" w:cs="Times New Roman"/>
          <w:b/>
          <w:color w:val="auto"/>
          <w:sz w:val="24"/>
          <w:szCs w:val="24"/>
        </w:rPr>
        <w:t>1</w:t>
      </w:r>
      <w:r w:rsidRPr="0078032F">
        <w:rPr>
          <w:rFonts w:ascii="Times New Roman" w:hAnsi="Times New Roman" w:cs="Times New Roman"/>
          <w:b/>
          <w:color w:val="auto"/>
          <w:sz w:val="24"/>
          <w:szCs w:val="24"/>
        </w:rPr>
        <w:t>:</w:t>
      </w:r>
      <w:r w:rsidRPr="0078032F">
        <w:rPr>
          <w:rFonts w:ascii="Times New Roman" w:eastAsia="Times New Roman" w:hAnsi="Times New Roman" w:cs="Times New Roman"/>
          <w:b/>
          <w:color w:val="auto"/>
          <w:sz w:val="24"/>
          <w:szCs w:val="24"/>
        </w:rPr>
        <w:t xml:space="preserve"> The composition of diets for rat feeding</w:t>
      </w:r>
      <w:bookmarkEnd w:id="6"/>
    </w:p>
    <w:tbl>
      <w:tblPr>
        <w:tblW w:w="8044" w:type="dxa"/>
        <w:tblLook w:val="04A0" w:firstRow="1" w:lastRow="0" w:firstColumn="1" w:lastColumn="0" w:noHBand="0" w:noVBand="1"/>
      </w:tblPr>
      <w:tblGrid>
        <w:gridCol w:w="2491"/>
        <w:gridCol w:w="1372"/>
        <w:gridCol w:w="1396"/>
        <w:gridCol w:w="1396"/>
        <w:gridCol w:w="1389"/>
      </w:tblGrid>
      <w:tr w:rsidR="0078032F" w:rsidRPr="0078032F" w:rsidTr="005F1E85">
        <w:trPr>
          <w:trHeight w:val="294"/>
        </w:trPr>
        <w:tc>
          <w:tcPr>
            <w:tcW w:w="2491" w:type="dxa"/>
            <w:vMerge w:val="restart"/>
            <w:tcBorders>
              <w:top w:val="single" w:sz="4" w:space="0" w:color="auto"/>
              <w:left w:val="nil"/>
              <w:right w:val="nil"/>
            </w:tcBorders>
            <w:shd w:val="clear" w:color="auto" w:fill="auto"/>
            <w:noWrap/>
            <w:vAlign w:val="bottom"/>
          </w:tcPr>
          <w:p w:rsidR="0078032F" w:rsidRPr="0078032F" w:rsidRDefault="0078032F" w:rsidP="0078032F">
            <w:pPr>
              <w:spacing w:after="0" w:line="240" w:lineRule="auto"/>
              <w:rPr>
                <w:rFonts w:ascii="Times New Roman" w:hAnsi="Times New Roman" w:cs="Times New Roman"/>
                <w:sz w:val="24"/>
                <w:szCs w:val="24"/>
              </w:rPr>
            </w:pPr>
            <w:r w:rsidRPr="0078032F">
              <w:rPr>
                <w:rFonts w:ascii="Times New Roman" w:eastAsia="Times New Roman" w:hAnsi="Times New Roman" w:cs="Times New Roman"/>
                <w:color w:val="000000"/>
                <w:sz w:val="24"/>
                <w:szCs w:val="24"/>
              </w:rPr>
              <w:t>Ingredients</w:t>
            </w:r>
          </w:p>
        </w:tc>
        <w:tc>
          <w:tcPr>
            <w:tcW w:w="5553" w:type="dxa"/>
            <w:gridSpan w:val="4"/>
            <w:tcBorders>
              <w:top w:val="single" w:sz="4" w:space="0" w:color="auto"/>
              <w:left w:val="nil"/>
              <w:bottom w:val="single" w:sz="4" w:space="0" w:color="auto"/>
              <w:right w:val="nil"/>
            </w:tcBorders>
            <w:shd w:val="clear" w:color="auto" w:fill="auto"/>
            <w:noWrap/>
            <w:vAlign w:val="bottom"/>
          </w:tcPr>
          <w:p w:rsidR="0078032F" w:rsidRPr="0078032F" w:rsidRDefault="0078032F" w:rsidP="0078032F">
            <w:pPr>
              <w:spacing w:after="0" w:line="240" w:lineRule="auto"/>
              <w:jc w:val="center"/>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Diet group</w:t>
            </w:r>
          </w:p>
        </w:tc>
      </w:tr>
      <w:tr w:rsidR="0078032F" w:rsidRPr="0078032F" w:rsidTr="005F1E85">
        <w:trPr>
          <w:trHeight w:val="294"/>
        </w:trPr>
        <w:tc>
          <w:tcPr>
            <w:tcW w:w="2491" w:type="dxa"/>
            <w:vMerge/>
            <w:tcBorders>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hAnsi="Times New Roman" w:cs="Times New Roman"/>
                <w:sz w:val="24"/>
                <w:szCs w:val="24"/>
              </w:rPr>
            </w:pPr>
          </w:p>
        </w:tc>
        <w:tc>
          <w:tcPr>
            <w:tcW w:w="1372" w:type="dxa"/>
            <w:tcBorders>
              <w:top w:val="single" w:sz="4" w:space="0" w:color="auto"/>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Control</w:t>
            </w:r>
          </w:p>
        </w:tc>
        <w:tc>
          <w:tcPr>
            <w:tcW w:w="1396" w:type="dxa"/>
            <w:tcBorders>
              <w:top w:val="single" w:sz="4" w:space="0" w:color="auto"/>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 indigestible group</w:t>
            </w:r>
          </w:p>
        </w:tc>
        <w:tc>
          <w:tcPr>
            <w:tcW w:w="1396" w:type="dxa"/>
            <w:tcBorders>
              <w:top w:val="single" w:sz="4" w:space="0" w:color="auto"/>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 indigestible group</w:t>
            </w:r>
          </w:p>
        </w:tc>
        <w:tc>
          <w:tcPr>
            <w:tcW w:w="1389" w:type="dxa"/>
            <w:tcBorders>
              <w:top w:val="single" w:sz="4" w:space="0" w:color="auto"/>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native isolate</w:t>
            </w:r>
          </w:p>
        </w:tc>
      </w:tr>
      <w:tr w:rsidR="0078032F" w:rsidRPr="0078032F" w:rsidTr="005F1E85">
        <w:trPr>
          <w:trHeight w:val="294"/>
        </w:trPr>
        <w:tc>
          <w:tcPr>
            <w:tcW w:w="2491" w:type="dxa"/>
            <w:tcBorders>
              <w:top w:val="single" w:sz="4" w:space="0" w:color="auto"/>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Cornstarch</w:t>
            </w:r>
          </w:p>
        </w:tc>
        <w:tc>
          <w:tcPr>
            <w:tcW w:w="1372" w:type="dxa"/>
            <w:tcBorders>
              <w:top w:val="single" w:sz="4" w:space="0" w:color="auto"/>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39.605</w:t>
            </w:r>
          </w:p>
        </w:tc>
        <w:tc>
          <w:tcPr>
            <w:tcW w:w="1396" w:type="dxa"/>
            <w:tcBorders>
              <w:top w:val="single" w:sz="4" w:space="0" w:color="auto"/>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39.605</w:t>
            </w:r>
          </w:p>
        </w:tc>
        <w:tc>
          <w:tcPr>
            <w:tcW w:w="1396" w:type="dxa"/>
            <w:tcBorders>
              <w:top w:val="single" w:sz="4" w:space="0" w:color="auto"/>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39.605</w:t>
            </w:r>
          </w:p>
        </w:tc>
        <w:tc>
          <w:tcPr>
            <w:tcW w:w="1389" w:type="dxa"/>
            <w:tcBorders>
              <w:top w:val="single" w:sz="4" w:space="0" w:color="auto"/>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39.605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casein</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20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19</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indigestible protein</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native protein isolate</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maltodextrin</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13.22</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13.22</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13.22</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13.22</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sucrose</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soy oil + TBHQ</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6.5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6.5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6.5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6.5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Fiber</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Mineral mix</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3.5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Vitamin mix</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L-cysteine</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0.3</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0.3</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0.3</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0.3</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Choline</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0.25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0.25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0.25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0.25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sodium cholate</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0.125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0.125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0.125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0.125</w:t>
            </w:r>
          </w:p>
        </w:tc>
      </w:tr>
      <w:tr w:rsidR="0078032F" w:rsidRPr="0078032F" w:rsidTr="005F1E85">
        <w:trPr>
          <w:trHeight w:val="294"/>
        </w:trPr>
        <w:tc>
          <w:tcPr>
            <w:tcW w:w="2491"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Cholesterol</w:t>
            </w:r>
          </w:p>
        </w:tc>
        <w:tc>
          <w:tcPr>
            <w:tcW w:w="1372"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0.5</w:t>
            </w:r>
          </w:p>
        </w:tc>
        <w:tc>
          <w:tcPr>
            <w:tcW w:w="1396"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0.5</w:t>
            </w:r>
          </w:p>
        </w:tc>
        <w:tc>
          <w:tcPr>
            <w:tcW w:w="1389" w:type="dxa"/>
            <w:tcBorders>
              <w:top w:val="nil"/>
              <w:left w:val="nil"/>
              <w:bottom w:val="nil"/>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0.5</w:t>
            </w:r>
          </w:p>
        </w:tc>
      </w:tr>
      <w:tr w:rsidR="0078032F" w:rsidRPr="0078032F" w:rsidTr="005F1E85">
        <w:trPr>
          <w:trHeight w:val="294"/>
        </w:trPr>
        <w:tc>
          <w:tcPr>
            <w:tcW w:w="2491" w:type="dxa"/>
            <w:tcBorders>
              <w:top w:val="nil"/>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total</w:t>
            </w:r>
          </w:p>
        </w:tc>
        <w:tc>
          <w:tcPr>
            <w:tcW w:w="1372" w:type="dxa"/>
            <w:tcBorders>
              <w:top w:val="nil"/>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100</w:t>
            </w:r>
          </w:p>
        </w:tc>
        <w:tc>
          <w:tcPr>
            <w:tcW w:w="1396" w:type="dxa"/>
            <w:tcBorders>
              <w:top w:val="nil"/>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100</w:t>
            </w:r>
          </w:p>
        </w:tc>
        <w:tc>
          <w:tcPr>
            <w:tcW w:w="1396" w:type="dxa"/>
            <w:tcBorders>
              <w:top w:val="nil"/>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100</w:t>
            </w:r>
          </w:p>
        </w:tc>
        <w:tc>
          <w:tcPr>
            <w:tcW w:w="1389" w:type="dxa"/>
            <w:tcBorders>
              <w:top w:val="nil"/>
              <w:left w:val="nil"/>
              <w:bottom w:val="single" w:sz="4" w:space="0" w:color="auto"/>
              <w:right w:val="nil"/>
            </w:tcBorders>
            <w:shd w:val="clear" w:color="auto" w:fill="auto"/>
            <w:noWrap/>
            <w:vAlign w:val="bottom"/>
            <w:hideMark/>
          </w:tcPr>
          <w:p w:rsidR="0078032F" w:rsidRPr="0078032F" w:rsidRDefault="0078032F" w:rsidP="0078032F">
            <w:pPr>
              <w:spacing w:after="0" w:line="240" w:lineRule="auto"/>
              <w:jc w:val="right"/>
              <w:rPr>
                <w:rFonts w:ascii="Times New Roman" w:eastAsia="Times New Roman" w:hAnsi="Times New Roman" w:cs="Times New Roman"/>
                <w:color w:val="000000"/>
                <w:sz w:val="24"/>
                <w:szCs w:val="24"/>
              </w:rPr>
            </w:pPr>
            <w:r w:rsidRPr="0078032F">
              <w:rPr>
                <w:rFonts w:ascii="Times New Roman" w:eastAsia="Times New Roman" w:hAnsi="Times New Roman" w:cs="Times New Roman"/>
                <w:color w:val="000000"/>
                <w:sz w:val="24"/>
                <w:szCs w:val="24"/>
              </w:rPr>
              <w:t>100</w:t>
            </w:r>
          </w:p>
        </w:tc>
      </w:tr>
    </w:tbl>
    <w:p w:rsidR="0078032F" w:rsidRPr="0078032F" w:rsidRDefault="0078032F" w:rsidP="0078032F">
      <w:pPr>
        <w:pStyle w:val="ListParagraph"/>
        <w:ind w:left="360" w:firstLine="420"/>
        <w:rPr>
          <w:rFonts w:ascii="Times New Roman" w:hAnsi="Times New Roman" w:cs="Times New Roman"/>
          <w:sz w:val="24"/>
          <w:szCs w:val="24"/>
        </w:rPr>
      </w:pPr>
    </w:p>
    <w:p w:rsidR="0078032F" w:rsidRPr="0078032F" w:rsidRDefault="0078032F" w:rsidP="00850248">
      <w:pPr>
        <w:pStyle w:val="Heading3"/>
        <w:spacing w:before="0"/>
        <w:rPr>
          <w:rFonts w:ascii="Times New Roman" w:hAnsi="Times New Roman" w:cs="Times New Roman"/>
          <w:b/>
          <w:color w:val="auto"/>
          <w:lang w:val="en-CA"/>
        </w:rPr>
      </w:pPr>
    </w:p>
    <w:p w:rsidR="00FB1962" w:rsidRPr="00FB1962" w:rsidRDefault="00FB1962" w:rsidP="00665855">
      <w:pPr>
        <w:pStyle w:val="Heading3"/>
        <w:spacing w:before="0" w:after="200" w:line="276" w:lineRule="auto"/>
        <w:rPr>
          <w:rFonts w:ascii="Times New Roman" w:hAnsi="Times New Roman" w:cs="Times New Roman"/>
          <w:b/>
          <w:color w:val="auto"/>
          <w:lang w:val="en-CA"/>
        </w:rPr>
      </w:pPr>
      <w:bookmarkStart w:id="7" w:name="_Toc509324096"/>
      <w:r w:rsidRPr="00FB1962">
        <w:rPr>
          <w:rFonts w:ascii="Times New Roman" w:hAnsi="Times New Roman" w:cs="Times New Roman"/>
          <w:b/>
          <w:color w:val="auto"/>
          <w:lang w:val="en-CA"/>
        </w:rPr>
        <w:t>Statistical analysis</w:t>
      </w:r>
      <w:bookmarkEnd w:id="7"/>
      <w:r w:rsidRPr="00FB1962">
        <w:rPr>
          <w:rFonts w:ascii="Times New Roman" w:hAnsi="Times New Roman" w:cs="Times New Roman"/>
          <w:b/>
          <w:color w:val="auto"/>
          <w:lang w:val="en-CA"/>
        </w:rPr>
        <w:t xml:space="preserve">: </w:t>
      </w:r>
      <w:r w:rsidRPr="00FB1962">
        <w:rPr>
          <w:rFonts w:ascii="Times New Roman" w:hAnsi="Times New Roman" w:cs="Times New Roman"/>
          <w:color w:val="auto"/>
        </w:rPr>
        <w:t>Data are presented as</w:t>
      </w:r>
      <w:r w:rsidRPr="00FB1962">
        <w:rPr>
          <w:rFonts w:ascii="Times New Roman" w:hAnsi="Times New Roman" w:cs="Times New Roman"/>
          <w:color w:val="auto"/>
          <w:lang w:val="en-CA"/>
        </w:rPr>
        <w:t xml:space="preserve"> </w:t>
      </w:r>
      <w:r w:rsidRPr="00FB1962">
        <w:rPr>
          <w:rFonts w:ascii="Times New Roman" w:hAnsi="Times New Roman" w:cs="Times New Roman"/>
          <w:color w:val="auto"/>
        </w:rPr>
        <w:t xml:space="preserve">means ± standard deviation (SD). Two-way ANOVA and Duncan`s multiple range test was applied for determining the difference between samples and treatments. Differences were considered significant at </w:t>
      </w:r>
      <w:r w:rsidRPr="00FB1962">
        <w:rPr>
          <w:rFonts w:ascii="Times New Roman" w:hAnsi="Times New Roman" w:cs="Times New Roman"/>
          <w:i/>
          <w:color w:val="auto"/>
        </w:rPr>
        <w:t>p</w:t>
      </w:r>
      <w:r w:rsidRPr="00FB1962">
        <w:rPr>
          <w:rFonts w:ascii="Times New Roman" w:hAnsi="Times New Roman" w:cs="Times New Roman"/>
          <w:color w:val="auto"/>
        </w:rPr>
        <w:t xml:space="preserve"> &lt; 0.05. All analyses were conducted using SPSS 23 (IBM, USA).</w:t>
      </w:r>
    </w:p>
    <w:p w:rsidR="00AB32E0" w:rsidRDefault="00AB32E0" w:rsidP="00665855">
      <w:pPr>
        <w:rPr>
          <w:rFonts w:ascii="Times New Roman" w:hAnsi="Times New Roman" w:cs="Times New Roman"/>
          <w:b/>
          <w:sz w:val="24"/>
          <w:szCs w:val="24"/>
        </w:rPr>
      </w:pPr>
    </w:p>
    <w:p w:rsidR="00EC1983" w:rsidRDefault="00D8682F" w:rsidP="00665855">
      <w:pPr>
        <w:rPr>
          <w:rFonts w:ascii="Times New Roman" w:hAnsi="Times New Roman" w:cs="Times New Roman"/>
          <w:b/>
          <w:sz w:val="24"/>
          <w:szCs w:val="24"/>
        </w:rPr>
      </w:pPr>
      <w:r>
        <w:rPr>
          <w:rFonts w:ascii="Times New Roman" w:hAnsi="Times New Roman" w:cs="Times New Roman"/>
          <w:b/>
          <w:sz w:val="24"/>
          <w:szCs w:val="24"/>
        </w:rPr>
        <w:t>Results</w:t>
      </w:r>
    </w:p>
    <w:p w:rsidR="00436972" w:rsidRDefault="00436972" w:rsidP="00665855">
      <w:pPr>
        <w:jc w:val="both"/>
        <w:rPr>
          <w:rFonts w:ascii="Times New Roman" w:eastAsia="Times New Roman" w:hAnsi="Times New Roman" w:cs="Times New Roman"/>
          <w:sz w:val="24"/>
          <w:szCs w:val="24"/>
        </w:rPr>
      </w:pPr>
      <w:r w:rsidRPr="00436972">
        <w:rPr>
          <w:rFonts w:ascii="Times New Roman" w:eastAsia="Times New Roman" w:hAnsi="Times New Roman" w:cs="Times New Roman"/>
          <w:b/>
          <w:sz w:val="24"/>
          <w:szCs w:val="24"/>
        </w:rPr>
        <w:t>Yield of indigestible proteins:</w:t>
      </w:r>
      <w:r>
        <w:rPr>
          <w:rFonts w:ascii="Times New Roman" w:eastAsia="Times New Roman" w:hAnsi="Times New Roman" w:cs="Times New Roman"/>
          <w:sz w:val="24"/>
          <w:szCs w:val="24"/>
        </w:rPr>
        <w:t xml:space="preserve"> </w:t>
      </w:r>
      <w:r w:rsidRPr="00436972">
        <w:rPr>
          <w:rFonts w:ascii="Times New Roman" w:eastAsia="Times New Roman" w:hAnsi="Times New Roman" w:cs="Times New Roman"/>
          <w:sz w:val="24"/>
          <w:szCs w:val="24"/>
        </w:rPr>
        <w:t xml:space="preserve">The protein isolates were subjected to different treatments before being hydrolyzed. The residual fraction of the hydrolysate was collected as indigestible proteins. The pre-treatments of the protein isolates resulted in significant differences (p&lt;0.001) in the yield of the indigestible proteins (Fig. </w:t>
      </w:r>
      <w:r>
        <w:rPr>
          <w:rFonts w:ascii="Times New Roman" w:eastAsia="Times New Roman" w:hAnsi="Times New Roman" w:cs="Times New Roman"/>
          <w:sz w:val="24"/>
          <w:szCs w:val="24"/>
        </w:rPr>
        <w:t>1</w:t>
      </w:r>
      <w:r w:rsidRPr="00436972">
        <w:rPr>
          <w:rFonts w:ascii="Times New Roman" w:eastAsia="Times New Roman" w:hAnsi="Times New Roman" w:cs="Times New Roman"/>
          <w:sz w:val="24"/>
          <w:szCs w:val="24"/>
        </w:rPr>
        <w:t>).  Generally, for all the protein samples, the highest yield was obtained with both rapid and slow cooling gelation treatments, while the dry-heated and freeze-thawed treatments had lower protein yields. Also, the yields after autoclave were comparable with gelation treatments. Specifically, as with autoclave, similar results (around 40% to 60%) were found in all pulses for other treatments. For the autoclaved samples, the indigestible protein yield was highest for black-eye bean (61.21%) and lowest for lima bean (38.84%). After 12 h of dry heating, chickpea had the highest indigestible protein yield (21.73%), and was followed by pinto bean (20.32%) and green split pea (18.98%), whereas other samples, such as green lentil, soybean, black bean, were less than 5%. The yields of the indigestible proteins after longer heating for 24 h were found to either increase or decrease. For instance, the yield from chickpea was three-fold higher, while green split pea decreased to 7.74%. In comparison, chickpea had the highest yield and moong dal washed was the lowest (0.49%). After the wet heat, red kidney bean yielded the lowest indigestible protein of 14.28%, while the yield from chickpea was the highest, which is similar to the result obtained with 12 h dry heating.</w:t>
      </w:r>
      <w:r>
        <w:rPr>
          <w:rFonts w:ascii="Times New Roman" w:eastAsia="Times New Roman" w:hAnsi="Times New Roman" w:cs="Times New Roman"/>
          <w:sz w:val="24"/>
          <w:szCs w:val="24"/>
        </w:rPr>
        <w:t xml:space="preserve"> R</w:t>
      </w:r>
      <w:r w:rsidRPr="00436972">
        <w:rPr>
          <w:rFonts w:ascii="Times New Roman" w:eastAsia="Times New Roman" w:hAnsi="Times New Roman" w:cs="Times New Roman"/>
          <w:sz w:val="24"/>
          <w:szCs w:val="24"/>
        </w:rPr>
        <w:t>esults of the freeze-thawed treatment varied from 0.51% (black bean and small white bean) to 30.90% (green split pea). For the gelation treatment, there were two cooling procedures- rapid and slow cooling, which refer to cooling the samples at -20</w:t>
      </w:r>
      <w:r w:rsidRPr="00436972">
        <w:rPr>
          <w:rFonts w:ascii="Times New Roman" w:eastAsia="Times New Roman" w:hAnsi="Times New Roman" w:cs="Times New Roman"/>
          <w:sz w:val="24"/>
          <w:szCs w:val="24"/>
          <w:vertAlign w:val="superscript"/>
        </w:rPr>
        <w:t>o</w:t>
      </w:r>
      <w:r w:rsidRPr="00436972">
        <w:rPr>
          <w:rFonts w:ascii="Times New Roman" w:eastAsia="Times New Roman" w:hAnsi="Times New Roman" w:cs="Times New Roman"/>
          <w:sz w:val="24"/>
          <w:szCs w:val="24"/>
        </w:rPr>
        <w:t>C and under tap water, respectively, before being kept to gel overnight at 4</w:t>
      </w:r>
      <w:r w:rsidRPr="00436972">
        <w:rPr>
          <w:rFonts w:ascii="Times New Roman" w:eastAsia="Times New Roman" w:hAnsi="Times New Roman" w:cs="Times New Roman"/>
          <w:sz w:val="24"/>
          <w:szCs w:val="24"/>
          <w:vertAlign w:val="superscript"/>
        </w:rPr>
        <w:t>o</w:t>
      </w:r>
      <w:r w:rsidRPr="00436972">
        <w:rPr>
          <w:rFonts w:ascii="Times New Roman" w:eastAsia="Times New Roman" w:hAnsi="Times New Roman" w:cs="Times New Roman"/>
          <w:sz w:val="24"/>
          <w:szCs w:val="24"/>
        </w:rPr>
        <w:t xml:space="preserve">C. The different cooling methods had no significant impact on the yield of the indigestible proteins. For instance, the yield from green lentil after rapid cooling was only 0.77% more than the slowly-cooled sample. Similarly, rapid and slow cooling treatments for black eye bean yielded 67.49% and 67.84%, respectively. Among the samples, the green split pea had the least yield for both rapid cooling (41.41%) and slow cooling (37.52%). </w:t>
      </w:r>
    </w:p>
    <w:p w:rsidR="00665855" w:rsidRDefault="00665855" w:rsidP="00665855">
      <w:pPr>
        <w:jc w:val="both"/>
        <w:rPr>
          <w:rFonts w:ascii="Times New Roman" w:eastAsia="Times New Roman" w:hAnsi="Times New Roman" w:cs="Times New Roman"/>
          <w:sz w:val="24"/>
          <w:szCs w:val="24"/>
        </w:rPr>
      </w:pPr>
    </w:p>
    <w:p w:rsidR="00665855" w:rsidRDefault="00665855" w:rsidP="00665855">
      <w:pPr>
        <w:jc w:val="both"/>
        <w:rPr>
          <w:rFonts w:ascii="Times New Roman" w:eastAsia="Times New Roman" w:hAnsi="Times New Roman" w:cs="Times New Roman"/>
          <w:sz w:val="24"/>
          <w:szCs w:val="24"/>
        </w:rPr>
      </w:pPr>
    </w:p>
    <w:p w:rsidR="00665855" w:rsidRDefault="00665855" w:rsidP="00665855">
      <w:pPr>
        <w:jc w:val="both"/>
        <w:rPr>
          <w:rFonts w:ascii="Times New Roman" w:eastAsia="Times New Roman" w:hAnsi="Times New Roman" w:cs="Times New Roman"/>
          <w:sz w:val="24"/>
          <w:szCs w:val="24"/>
        </w:rPr>
      </w:pPr>
    </w:p>
    <w:p w:rsidR="00436972" w:rsidRPr="00436972" w:rsidRDefault="00436972" w:rsidP="00436972">
      <w:pPr>
        <w:spacing w:line="360" w:lineRule="auto"/>
        <w:rPr>
          <w:rFonts w:ascii="Times New Roman" w:eastAsia="Times New Roman" w:hAnsi="Times New Roman" w:cs="Times New Roman"/>
          <w:i/>
          <w:sz w:val="24"/>
          <w:szCs w:val="24"/>
        </w:rPr>
      </w:pPr>
      <w:r w:rsidRPr="00F3081C">
        <w:rPr>
          <w:rFonts w:ascii="Times New Roman" w:hAnsi="Times New Roman" w:cs="Times New Roman"/>
          <w:b/>
          <w:i/>
          <w:sz w:val="24"/>
          <w:szCs w:val="24"/>
        </w:rPr>
        <w:lastRenderedPageBreak/>
        <w:t>Fig. 1:</w:t>
      </w:r>
      <w:r>
        <w:rPr>
          <w:rFonts w:ascii="Times New Roman" w:hAnsi="Times New Roman" w:cs="Times New Roman"/>
          <w:b/>
          <w:sz w:val="24"/>
          <w:szCs w:val="24"/>
        </w:rPr>
        <w:t xml:space="preserve"> </w:t>
      </w:r>
      <w:r w:rsidRPr="00436972">
        <w:rPr>
          <w:rFonts w:ascii="Times New Roman" w:hAnsi="Times New Roman" w:cs="Times New Roman"/>
          <w:b/>
          <w:i/>
          <w:sz w:val="24"/>
          <w:szCs w:val="24"/>
          <w:lang w:val="en-CA"/>
        </w:rPr>
        <w:t xml:space="preserve">Yield of indigestible proteins (Means </w:t>
      </w:r>
      <w:r w:rsidRPr="00436972">
        <w:rPr>
          <w:rFonts w:ascii="Times New Roman" w:hAnsi="Times New Roman" w:cs="Times New Roman"/>
          <w:b/>
          <w:i/>
          <w:sz w:val="24"/>
          <w:szCs w:val="24"/>
          <w:lang w:val="en-CA"/>
        </w:rPr>
        <w:sym w:font="Symbol" w:char="F0B1"/>
      </w:r>
      <w:r w:rsidRPr="00436972">
        <w:rPr>
          <w:rFonts w:ascii="Times New Roman" w:hAnsi="Times New Roman" w:cs="Times New Roman"/>
          <w:b/>
          <w:i/>
          <w:sz w:val="24"/>
          <w:szCs w:val="24"/>
          <w:lang w:val="en-CA"/>
        </w:rPr>
        <w:t xml:space="preserve"> SD, n=3)</w:t>
      </w:r>
    </w:p>
    <w:p w:rsidR="00154B13" w:rsidRPr="00154B13" w:rsidRDefault="000C7496" w:rsidP="00AB32E0">
      <w:pPr>
        <w:rPr>
          <w:rFonts w:ascii="Times New Roman" w:hAnsi="Times New Roman" w:cs="Times New Roman"/>
          <w:sz w:val="24"/>
          <w:szCs w:val="24"/>
          <w:lang w:val="en-CA"/>
        </w:rPr>
      </w:pPr>
      <w:r>
        <w:object w:dxaOrig="11748" w:dyaOrig="5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pt;height:237.2pt" o:ole="">
            <v:imagedata r:id="rId8" o:title=""/>
          </v:shape>
          <o:OLEObject Type="Embed" ProgID="Prism6.Document" ShapeID="_x0000_i1025" DrawAspect="Content" ObjectID="_1586107859" r:id="rId9"/>
        </w:object>
      </w:r>
      <w:r w:rsidR="00117B45">
        <w:rPr>
          <w:rFonts w:ascii="Times New Roman" w:eastAsia="Times New Roman" w:hAnsi="Times New Roman" w:cs="Times New Roman"/>
          <w:b/>
          <w:sz w:val="24"/>
          <w:szCs w:val="24"/>
        </w:rPr>
        <w:t>Surface hydrophobicity</w:t>
      </w:r>
      <w:r w:rsidR="00117B45" w:rsidRPr="00436972">
        <w:rPr>
          <w:rFonts w:ascii="Times New Roman" w:eastAsia="Times New Roman" w:hAnsi="Times New Roman" w:cs="Times New Roman"/>
          <w:b/>
          <w:sz w:val="24"/>
          <w:szCs w:val="24"/>
        </w:rPr>
        <w:t>:</w:t>
      </w:r>
      <w:r w:rsidR="00117B45">
        <w:rPr>
          <w:rFonts w:ascii="Times New Roman" w:eastAsia="Times New Roman" w:hAnsi="Times New Roman" w:cs="Times New Roman"/>
          <w:sz w:val="24"/>
          <w:szCs w:val="24"/>
        </w:rPr>
        <w:t xml:space="preserve"> </w:t>
      </w:r>
      <w:r w:rsidR="00154B13" w:rsidRPr="00154B13">
        <w:rPr>
          <w:rFonts w:ascii="Times New Roman" w:hAnsi="Times New Roman" w:cs="Times New Roman"/>
          <w:sz w:val="24"/>
          <w:szCs w:val="24"/>
          <w:lang w:val="en-CA"/>
        </w:rPr>
        <w:t xml:space="preserve">The surface hydrophobicity of the indigestible proteins is shown in Fig. </w:t>
      </w:r>
      <w:r w:rsidR="00F42398">
        <w:rPr>
          <w:rFonts w:ascii="Times New Roman" w:hAnsi="Times New Roman" w:cs="Times New Roman"/>
          <w:sz w:val="24"/>
          <w:szCs w:val="24"/>
          <w:lang w:val="en-CA"/>
        </w:rPr>
        <w:t>2</w:t>
      </w:r>
      <w:r w:rsidR="00154B13" w:rsidRPr="00154B13">
        <w:rPr>
          <w:rFonts w:ascii="Times New Roman" w:hAnsi="Times New Roman" w:cs="Times New Roman"/>
          <w:sz w:val="24"/>
          <w:szCs w:val="24"/>
          <w:lang w:val="en-CA"/>
        </w:rPr>
        <w:t xml:space="preserve">.  Among the pulses, lima bean had the highest </w:t>
      </w:r>
      <w:r w:rsidR="00154B13" w:rsidRPr="00154B13">
        <w:rPr>
          <w:rFonts w:ascii="Times New Roman" w:hAnsi="Times New Roman" w:cs="Times New Roman"/>
          <w:i/>
          <w:sz w:val="24"/>
          <w:szCs w:val="24"/>
          <w:lang w:val="en-CA"/>
        </w:rPr>
        <w:t>S</w:t>
      </w:r>
      <w:r w:rsidR="00154B13" w:rsidRPr="00154B13">
        <w:rPr>
          <w:rFonts w:ascii="Times New Roman" w:hAnsi="Times New Roman" w:cs="Times New Roman"/>
          <w:i/>
          <w:sz w:val="24"/>
          <w:szCs w:val="24"/>
          <w:vertAlign w:val="subscript"/>
          <w:lang w:val="en-CA"/>
        </w:rPr>
        <w:t>o</w:t>
      </w:r>
      <w:r w:rsidR="00154B13" w:rsidRPr="00154B13">
        <w:rPr>
          <w:rFonts w:ascii="Times New Roman" w:hAnsi="Times New Roman" w:cs="Times New Roman"/>
          <w:sz w:val="24"/>
          <w:szCs w:val="24"/>
          <w:lang w:val="en-CA"/>
        </w:rPr>
        <w:t xml:space="preserve"> of 4877.67 after dry heating, while values of green lentil, green split pea, mung bean and soybean were relatively lower than 1000. The highest </w:t>
      </w:r>
      <w:proofErr w:type="gramStart"/>
      <w:r w:rsidR="00154B13" w:rsidRPr="00154B13">
        <w:rPr>
          <w:rFonts w:ascii="Times New Roman" w:hAnsi="Times New Roman" w:cs="Times New Roman"/>
          <w:i/>
          <w:sz w:val="24"/>
          <w:szCs w:val="24"/>
          <w:lang w:val="en-CA"/>
        </w:rPr>
        <w:t>S</w:t>
      </w:r>
      <w:r w:rsidR="00154B13" w:rsidRPr="00154B13">
        <w:rPr>
          <w:rFonts w:ascii="Times New Roman" w:hAnsi="Times New Roman" w:cs="Times New Roman"/>
          <w:i/>
          <w:sz w:val="24"/>
          <w:szCs w:val="24"/>
          <w:vertAlign w:val="subscript"/>
          <w:lang w:val="en-CA"/>
        </w:rPr>
        <w:t>o</w:t>
      </w:r>
      <w:proofErr w:type="gramEnd"/>
      <w:r w:rsidR="00154B13" w:rsidRPr="00154B13">
        <w:rPr>
          <w:rFonts w:ascii="Times New Roman" w:hAnsi="Times New Roman" w:cs="Times New Roman"/>
          <w:sz w:val="24"/>
          <w:szCs w:val="24"/>
          <w:lang w:val="en-CA"/>
        </w:rPr>
        <w:t xml:space="preserve"> for most samples was observed after dry heat and freeze-thaw treatments, while autoclave, wet heat and gelation produced the least values. For example, the </w:t>
      </w:r>
      <w:r w:rsidR="00154B13" w:rsidRPr="00154B13">
        <w:rPr>
          <w:rFonts w:ascii="Times New Roman" w:hAnsi="Times New Roman" w:cs="Times New Roman"/>
          <w:i/>
          <w:sz w:val="24"/>
          <w:szCs w:val="24"/>
          <w:lang w:val="en-CA"/>
        </w:rPr>
        <w:t>S</w:t>
      </w:r>
      <w:r w:rsidR="00154B13" w:rsidRPr="00154B13">
        <w:rPr>
          <w:rFonts w:ascii="Times New Roman" w:hAnsi="Times New Roman" w:cs="Times New Roman"/>
          <w:i/>
          <w:sz w:val="24"/>
          <w:szCs w:val="24"/>
          <w:vertAlign w:val="subscript"/>
          <w:lang w:val="en-CA"/>
        </w:rPr>
        <w:t>o</w:t>
      </w:r>
      <w:r w:rsidR="00154B13" w:rsidRPr="00154B13">
        <w:rPr>
          <w:rFonts w:ascii="Times New Roman" w:hAnsi="Times New Roman" w:cs="Times New Roman"/>
          <w:sz w:val="24"/>
          <w:szCs w:val="24"/>
          <w:lang w:val="en-CA"/>
        </w:rPr>
        <w:t xml:space="preserve"> for the 24 h dry heated chickpea was 3955.03 while freeze-thawed black bean was 2791.57, and the autoclaved green lentil had the lowest value of 37.36. According to statistical analysis, the differences between samples and treatments were significant (p&lt;0.001), and there was a significant interaction between sample and treatment (p&lt;0.001). However, no significant difference was found between black-eye bean and mung bean, while gelation (slow cooling) did not differ from wet heat treatment.</w:t>
      </w:r>
    </w:p>
    <w:p w:rsidR="00AB32E0" w:rsidRPr="00AB32E0" w:rsidRDefault="00AB32E0" w:rsidP="00AB32E0">
      <w:pPr>
        <w:pStyle w:val="Caption"/>
        <w:spacing w:line="276" w:lineRule="auto"/>
        <w:rPr>
          <w:rFonts w:ascii="Times New Roman" w:hAnsi="Times New Roman" w:cs="Times New Roman"/>
          <w:b/>
          <w:i w:val="0"/>
          <w:color w:val="auto"/>
          <w:sz w:val="24"/>
          <w:szCs w:val="24"/>
        </w:rPr>
      </w:pPr>
      <w:bookmarkStart w:id="8" w:name="_Toc509323969"/>
      <w:r w:rsidRPr="00AB32E0">
        <w:rPr>
          <w:rFonts w:ascii="Times New Roman" w:hAnsi="Times New Roman" w:cs="Times New Roman"/>
          <w:b/>
          <w:i w:val="0"/>
          <w:color w:val="auto"/>
          <w:sz w:val="24"/>
          <w:szCs w:val="24"/>
          <w:lang w:val="en-CA"/>
        </w:rPr>
        <w:t xml:space="preserve">Bile acid-binding activity: </w:t>
      </w:r>
      <w:r w:rsidRPr="00AB32E0">
        <w:rPr>
          <w:rFonts w:ascii="Times New Roman" w:hAnsi="Times New Roman" w:cs="Times New Roman"/>
          <w:i w:val="0"/>
          <w:color w:val="auto"/>
          <w:sz w:val="24"/>
          <w:szCs w:val="24"/>
          <w:lang w:val="en-CA"/>
        </w:rPr>
        <w:t xml:space="preserve">The bile acid-binding activity of the indigestible proteins is presented in Figure 3. Cholestyramine resin, a drug used to treat hypercholesterolemia, was used as a standard reference. Cholestyramine is a bile acid </w:t>
      </w:r>
      <w:proofErr w:type="spellStart"/>
      <w:r w:rsidRPr="00AB32E0">
        <w:rPr>
          <w:rFonts w:ascii="Times New Roman" w:hAnsi="Times New Roman" w:cs="Times New Roman"/>
          <w:i w:val="0"/>
          <w:color w:val="auto"/>
          <w:sz w:val="24"/>
          <w:szCs w:val="24"/>
          <w:lang w:val="en-CA"/>
        </w:rPr>
        <w:t>sequestrant</w:t>
      </w:r>
      <w:proofErr w:type="spellEnd"/>
      <w:r w:rsidRPr="00AB32E0">
        <w:rPr>
          <w:rFonts w:ascii="Times New Roman" w:hAnsi="Times New Roman" w:cs="Times New Roman"/>
          <w:i w:val="0"/>
          <w:color w:val="auto"/>
          <w:sz w:val="24"/>
          <w:szCs w:val="24"/>
          <w:lang w:val="en-CA"/>
        </w:rPr>
        <w:t xml:space="preserve"> that has positively charged anion that can bind negatively charged anion in bile acids, forming insoluble complexes in gastrointestinal tract, which prevents the reabsorption of bile acids and stimulates their excretion in the feces (United States National Institutes of Health, 2018). In this study, cholestyramine bound 67.46% of bile acids, while the indigestible proteins bound 20% to 37%. Samples obtained after 12h heating and freeze-thaw pre-treatments were found to bind more bile acids compared to other treatments, while the samples after wet heat and gelation with slow cooling were relatively weak. Except black bean, black-eye bean, green lentil and green split pea that had the lowest activities for approximately 22% after gelation treatment (slow cooling)</w:t>
      </w:r>
      <w:proofErr w:type="gramStart"/>
      <w:r w:rsidRPr="00AB32E0">
        <w:rPr>
          <w:rFonts w:ascii="Times New Roman" w:hAnsi="Times New Roman" w:cs="Times New Roman"/>
          <w:i w:val="0"/>
          <w:color w:val="auto"/>
          <w:sz w:val="24"/>
          <w:szCs w:val="24"/>
          <w:lang w:val="en-CA"/>
        </w:rPr>
        <w:t>,</w:t>
      </w:r>
      <w:proofErr w:type="gramEnd"/>
      <w:r w:rsidRPr="00AB32E0">
        <w:rPr>
          <w:rFonts w:ascii="Times New Roman" w:hAnsi="Times New Roman" w:cs="Times New Roman"/>
          <w:i w:val="0"/>
          <w:color w:val="auto"/>
          <w:sz w:val="24"/>
          <w:szCs w:val="24"/>
          <w:lang w:val="en-CA"/>
        </w:rPr>
        <w:t xml:space="preserve"> the least percentages of all other pulses were produced by wet heat (20% to 24%). The bile acid-binding</w:t>
      </w:r>
    </w:p>
    <w:p w:rsidR="00154B13" w:rsidRPr="00F3081C" w:rsidRDefault="00154B13" w:rsidP="00154B13">
      <w:pPr>
        <w:pStyle w:val="Caption"/>
        <w:rPr>
          <w:rFonts w:ascii="Times New Roman" w:hAnsi="Times New Roman" w:cs="Times New Roman"/>
          <w:b/>
          <w:color w:val="auto"/>
          <w:sz w:val="24"/>
          <w:szCs w:val="24"/>
          <w:lang w:val="en-CA"/>
        </w:rPr>
      </w:pPr>
      <w:r w:rsidRPr="00F3081C">
        <w:rPr>
          <w:rFonts w:ascii="Times New Roman" w:hAnsi="Times New Roman" w:cs="Times New Roman"/>
          <w:b/>
          <w:color w:val="auto"/>
          <w:sz w:val="24"/>
          <w:szCs w:val="24"/>
        </w:rPr>
        <w:lastRenderedPageBreak/>
        <w:t>Fig</w:t>
      </w:r>
      <w:r w:rsidRPr="00F3081C">
        <w:rPr>
          <w:rFonts w:ascii="Times New Roman" w:hAnsi="Times New Roman" w:cs="Times New Roman"/>
          <w:b/>
          <w:color w:val="auto"/>
          <w:sz w:val="24"/>
          <w:szCs w:val="24"/>
        </w:rPr>
        <w:t>.</w:t>
      </w:r>
      <w:r w:rsidRPr="00F3081C">
        <w:rPr>
          <w:rFonts w:ascii="Times New Roman" w:hAnsi="Times New Roman" w:cs="Times New Roman"/>
          <w:b/>
          <w:color w:val="auto"/>
          <w:sz w:val="24"/>
          <w:szCs w:val="24"/>
        </w:rPr>
        <w:t xml:space="preserve"> </w:t>
      </w:r>
      <w:r w:rsidRPr="00F3081C">
        <w:rPr>
          <w:rFonts w:ascii="Times New Roman" w:hAnsi="Times New Roman" w:cs="Times New Roman"/>
          <w:b/>
          <w:color w:val="auto"/>
          <w:sz w:val="24"/>
          <w:szCs w:val="24"/>
        </w:rPr>
        <w:t>2</w:t>
      </w:r>
      <w:r w:rsidRPr="00F3081C">
        <w:rPr>
          <w:rFonts w:ascii="Times New Roman" w:hAnsi="Times New Roman" w:cs="Times New Roman"/>
          <w:b/>
          <w:color w:val="auto"/>
          <w:sz w:val="24"/>
          <w:szCs w:val="24"/>
        </w:rPr>
        <w:t>:</w:t>
      </w:r>
      <w:r w:rsidRPr="00F3081C">
        <w:rPr>
          <w:rFonts w:ascii="Times New Roman" w:hAnsi="Times New Roman" w:cs="Times New Roman"/>
          <w:b/>
          <w:color w:val="auto"/>
          <w:sz w:val="24"/>
          <w:szCs w:val="24"/>
          <w:lang w:val="en-CA"/>
        </w:rPr>
        <w:t xml:space="preserve"> Surface hydrophobicity (S</w:t>
      </w:r>
      <w:r w:rsidRPr="00F3081C">
        <w:rPr>
          <w:rFonts w:ascii="Times New Roman" w:hAnsi="Times New Roman" w:cs="Times New Roman"/>
          <w:b/>
          <w:color w:val="auto"/>
          <w:sz w:val="24"/>
          <w:szCs w:val="24"/>
          <w:vertAlign w:val="subscript"/>
          <w:lang w:val="en-CA"/>
        </w:rPr>
        <w:t>o</w:t>
      </w:r>
      <w:r w:rsidRPr="00F3081C">
        <w:rPr>
          <w:rFonts w:ascii="Times New Roman" w:hAnsi="Times New Roman" w:cs="Times New Roman"/>
          <w:b/>
          <w:color w:val="auto"/>
          <w:sz w:val="24"/>
          <w:szCs w:val="24"/>
          <w:lang w:val="en-CA"/>
        </w:rPr>
        <w:t xml:space="preserve">) of indigestible protein from different pulses after treatment (mean </w:t>
      </w:r>
      <w:r w:rsidRPr="00F3081C">
        <w:rPr>
          <w:rFonts w:ascii="Times New Roman" w:hAnsi="Times New Roman" w:cs="Times New Roman"/>
          <w:b/>
          <w:color w:val="auto"/>
          <w:sz w:val="24"/>
          <w:szCs w:val="24"/>
          <w:lang w:val="en-CA"/>
        </w:rPr>
        <w:sym w:font="Symbol" w:char="F0B1"/>
      </w:r>
      <w:r w:rsidRPr="00F3081C">
        <w:rPr>
          <w:rFonts w:ascii="Times New Roman" w:hAnsi="Times New Roman" w:cs="Times New Roman"/>
          <w:b/>
          <w:color w:val="auto"/>
          <w:sz w:val="24"/>
          <w:szCs w:val="24"/>
          <w:lang w:val="en-CA"/>
        </w:rPr>
        <w:t xml:space="preserve"> SD, n=3).</w:t>
      </w:r>
      <w:bookmarkEnd w:id="8"/>
    </w:p>
    <w:p w:rsidR="006B09B9" w:rsidRDefault="008F6A36" w:rsidP="006B09B9">
      <w:r>
        <w:object w:dxaOrig="5094" w:dyaOrig="4317">
          <v:shape id="_x0000_i1027" type="#_x0000_t75" style="width:422pt;height:246.8pt" o:ole="">
            <v:imagedata r:id="rId10" o:title=""/>
          </v:shape>
          <o:OLEObject Type="Embed" ProgID="Prism6.Document" ShapeID="_x0000_i1027" DrawAspect="Content" ObjectID="_1586107860" r:id="rId11"/>
        </w:object>
      </w:r>
      <w:bookmarkStart w:id="9" w:name="_Toc509324105"/>
    </w:p>
    <w:bookmarkEnd w:id="9"/>
    <w:p w:rsidR="00D52F02" w:rsidRDefault="00D52F02" w:rsidP="00AB32E0">
      <w:pPr>
        <w:jc w:val="both"/>
        <w:rPr>
          <w:rFonts w:ascii="Times New Roman" w:hAnsi="Times New Roman" w:cs="Times New Roman"/>
          <w:sz w:val="24"/>
          <w:szCs w:val="24"/>
          <w:lang w:val="en-CA"/>
        </w:rPr>
      </w:pPr>
      <w:proofErr w:type="gramStart"/>
      <w:r w:rsidRPr="00D52F02">
        <w:rPr>
          <w:rFonts w:ascii="Times New Roman" w:hAnsi="Times New Roman" w:cs="Times New Roman"/>
          <w:sz w:val="24"/>
          <w:szCs w:val="24"/>
          <w:lang w:val="en-CA"/>
        </w:rPr>
        <w:t>activity</w:t>
      </w:r>
      <w:proofErr w:type="gramEnd"/>
      <w:r w:rsidRPr="00D52F02">
        <w:rPr>
          <w:rFonts w:ascii="Times New Roman" w:hAnsi="Times New Roman" w:cs="Times New Roman"/>
          <w:sz w:val="24"/>
          <w:szCs w:val="24"/>
          <w:lang w:val="en-CA"/>
        </w:rPr>
        <w:t xml:space="preserve"> did not differ significantly (p=0.44) on the basis of pulse variety. On the other hand, the bile acid-binding capability for black bean, green split pea and small white bean were statistically different (p&lt;0.05) based on pre-treatment type. </w:t>
      </w:r>
    </w:p>
    <w:p w:rsidR="00C0484D" w:rsidRPr="00394CB7" w:rsidRDefault="00C0484D" w:rsidP="00C0484D">
      <w:pPr>
        <w:pStyle w:val="Caption"/>
        <w:rPr>
          <w:rFonts w:ascii="Times New Roman" w:hAnsi="Times New Roman" w:cs="Times New Roman"/>
          <w:b/>
          <w:color w:val="auto"/>
          <w:sz w:val="24"/>
          <w:szCs w:val="24"/>
          <w:lang w:val="en-CA"/>
        </w:rPr>
      </w:pPr>
      <w:bookmarkStart w:id="10" w:name="_Toc509323970"/>
      <w:r w:rsidRPr="00394CB7">
        <w:rPr>
          <w:rFonts w:ascii="Times New Roman" w:hAnsi="Times New Roman" w:cs="Times New Roman"/>
          <w:b/>
          <w:color w:val="auto"/>
          <w:sz w:val="24"/>
          <w:szCs w:val="24"/>
        </w:rPr>
        <w:t>Fig</w:t>
      </w:r>
      <w:r w:rsidRPr="00394CB7">
        <w:rPr>
          <w:rFonts w:ascii="Times New Roman" w:hAnsi="Times New Roman" w:cs="Times New Roman"/>
          <w:b/>
          <w:color w:val="auto"/>
          <w:sz w:val="24"/>
          <w:szCs w:val="24"/>
        </w:rPr>
        <w:t>.</w:t>
      </w:r>
      <w:r w:rsidRPr="00394CB7">
        <w:rPr>
          <w:rFonts w:ascii="Times New Roman" w:hAnsi="Times New Roman" w:cs="Times New Roman"/>
          <w:b/>
          <w:color w:val="auto"/>
          <w:sz w:val="24"/>
          <w:szCs w:val="24"/>
        </w:rPr>
        <w:t xml:space="preserve"> </w:t>
      </w:r>
      <w:r w:rsidRPr="00394CB7">
        <w:rPr>
          <w:rFonts w:ascii="Times New Roman" w:hAnsi="Times New Roman" w:cs="Times New Roman"/>
          <w:b/>
          <w:color w:val="auto"/>
          <w:sz w:val="24"/>
          <w:szCs w:val="24"/>
        </w:rPr>
        <w:t>3</w:t>
      </w:r>
      <w:r w:rsidRPr="00394CB7">
        <w:rPr>
          <w:rFonts w:ascii="Times New Roman" w:hAnsi="Times New Roman" w:cs="Times New Roman"/>
          <w:b/>
          <w:color w:val="auto"/>
          <w:sz w:val="24"/>
          <w:szCs w:val="24"/>
        </w:rPr>
        <w:t>:</w:t>
      </w:r>
      <w:r w:rsidRPr="00394CB7">
        <w:rPr>
          <w:rFonts w:ascii="Times New Roman" w:hAnsi="Times New Roman" w:cs="Times New Roman"/>
          <w:b/>
          <w:color w:val="auto"/>
          <w:sz w:val="24"/>
          <w:szCs w:val="24"/>
          <w:lang w:val="en-CA"/>
        </w:rPr>
        <w:t xml:space="preserve"> Bile acid-binding activity of indigestible protein from different pulses after treatment (mean </w:t>
      </w:r>
      <w:r w:rsidRPr="00394CB7">
        <w:rPr>
          <w:rFonts w:ascii="Times New Roman" w:hAnsi="Times New Roman" w:cs="Times New Roman"/>
          <w:b/>
          <w:color w:val="auto"/>
          <w:sz w:val="24"/>
          <w:szCs w:val="24"/>
          <w:lang w:val="en-CA"/>
        </w:rPr>
        <w:sym w:font="Symbol" w:char="F0B1"/>
      </w:r>
      <w:r w:rsidRPr="00394CB7">
        <w:rPr>
          <w:rFonts w:ascii="Times New Roman" w:hAnsi="Times New Roman" w:cs="Times New Roman"/>
          <w:b/>
          <w:color w:val="auto"/>
          <w:sz w:val="24"/>
          <w:szCs w:val="24"/>
          <w:lang w:val="en-CA"/>
        </w:rPr>
        <w:t xml:space="preserve"> SD, n=2)</w:t>
      </w:r>
      <w:bookmarkEnd w:id="10"/>
    </w:p>
    <w:p w:rsidR="00C1589F" w:rsidRPr="00C1589F" w:rsidRDefault="008F6A36" w:rsidP="00050750">
      <w:pPr>
        <w:jc w:val="both"/>
        <w:rPr>
          <w:rFonts w:ascii="Times New Roman" w:hAnsi="Times New Roman" w:cs="Times New Roman"/>
          <w:sz w:val="24"/>
          <w:szCs w:val="24"/>
          <w:lang w:val="en-CA"/>
        </w:rPr>
      </w:pPr>
      <w:r>
        <w:object w:dxaOrig="11537" w:dyaOrig="5064">
          <v:shape id="_x0000_i1033" type="#_x0000_t75" style="width:492pt;height:225.6pt" o:ole="">
            <v:imagedata r:id="rId12" o:title=""/>
          </v:shape>
          <o:OLEObject Type="Embed" ProgID="Prism6.Document" ShapeID="_x0000_i1033" DrawAspect="Content" ObjectID="_1586107861" r:id="rId13"/>
        </w:object>
      </w:r>
      <w:r w:rsidR="00C1589F" w:rsidRPr="00C1589F">
        <w:rPr>
          <w:rFonts w:ascii="Times New Roman" w:hAnsi="Times New Roman" w:cs="Times New Roman"/>
          <w:sz w:val="24"/>
          <w:szCs w:val="24"/>
          <w:lang w:val="en-CA"/>
        </w:rPr>
        <w:t xml:space="preserve">Except baseline and the first week, different protein sources in diet had significant effects on </w:t>
      </w:r>
      <w:r w:rsidR="00C1589F" w:rsidRPr="00C1589F">
        <w:rPr>
          <w:rFonts w:ascii="Times New Roman" w:hAnsi="Times New Roman" w:cs="Times New Roman"/>
          <w:sz w:val="24"/>
          <w:szCs w:val="24"/>
          <w:lang w:val="en-CA"/>
        </w:rPr>
        <w:lastRenderedPageBreak/>
        <w:t xml:space="preserve">blood total cholesterol (p&lt;0.05) among male rats, while for female, there was significant difference between groups found at all weeks except week 1 (p&lt;0.05). The TC gained after 6-week consumption </w:t>
      </w:r>
      <w:proofErr w:type="gramStart"/>
      <w:r w:rsidR="00C1589F" w:rsidRPr="00C1589F">
        <w:rPr>
          <w:rFonts w:ascii="Times New Roman" w:hAnsi="Times New Roman" w:cs="Times New Roman"/>
          <w:sz w:val="24"/>
          <w:szCs w:val="24"/>
          <w:lang w:val="en-CA"/>
        </w:rPr>
        <w:t>are</w:t>
      </w:r>
      <w:proofErr w:type="gramEnd"/>
      <w:r w:rsidR="00C1589F" w:rsidRPr="00C1589F">
        <w:rPr>
          <w:rFonts w:ascii="Times New Roman" w:hAnsi="Times New Roman" w:cs="Times New Roman"/>
          <w:sz w:val="24"/>
          <w:szCs w:val="24"/>
          <w:lang w:val="en-CA"/>
        </w:rPr>
        <w:t xml:space="preserve"> shown in Table 5. Male rats gained less TC for all types of diet and the difference between genders was significant (p&lt;0.001). In addition, for both gender, TC gain was significantly different from each group. Among female rats, diet with native black-eye bean protein contributed to the highest increase in plasma TC (16.71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 xml:space="preserve">/L) while that of 5% of indigestible protein decreased the TC gain when compared to control group where casein was used (2.43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 xml:space="preserve">/L vs. 6.82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 xml:space="preserve">/L). High cholesterol diet increased blood cholesterol in rats in comparison to the normal diet at baseline. The increases in total cholesterol after 6-week consumption of 4 diets are shown in Table 5. Among female rats, the TC gain for casein group was </w:t>
      </w:r>
      <w:proofErr w:type="gramStart"/>
      <w:r w:rsidR="00C1589F" w:rsidRPr="00C1589F">
        <w:rPr>
          <w:rFonts w:ascii="Times New Roman" w:hAnsi="Times New Roman" w:cs="Times New Roman"/>
          <w:sz w:val="24"/>
          <w:szCs w:val="24"/>
          <w:lang w:val="en-CA"/>
        </w:rPr>
        <w:t xml:space="preserve">6.82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/L,</w:t>
      </w:r>
      <w:proofErr w:type="gramEnd"/>
      <w:r w:rsidR="00C1589F" w:rsidRPr="00C1589F">
        <w:rPr>
          <w:rFonts w:ascii="Times New Roman" w:hAnsi="Times New Roman" w:cs="Times New Roman"/>
          <w:sz w:val="24"/>
          <w:szCs w:val="24"/>
          <w:lang w:val="en-CA"/>
        </w:rPr>
        <w:t xml:space="preserve"> while 5% indigestible protein in replacement of casein in the diet of group 3 effectively reduced plasma by 4.39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 xml:space="preserve">/L. On the contrary, the addition of 1% indigestible protein and 5% native protein significantly induced increase in plasma cholesterol (gained 11.49 and 16.71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 xml:space="preserve">/L). However, similar trend could not be seen in male rats. The TC gain in 5% indigestible protein group was </w:t>
      </w:r>
      <w:proofErr w:type="gramStart"/>
      <w:r w:rsidR="00C1589F" w:rsidRPr="00C1589F">
        <w:rPr>
          <w:rFonts w:ascii="Times New Roman" w:hAnsi="Times New Roman" w:cs="Times New Roman"/>
          <w:sz w:val="24"/>
          <w:szCs w:val="24"/>
          <w:lang w:val="en-CA"/>
        </w:rPr>
        <w:t xml:space="preserve">1.19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/L,</w:t>
      </w:r>
      <w:proofErr w:type="gramEnd"/>
      <w:r w:rsidR="00C1589F" w:rsidRPr="00C1589F">
        <w:rPr>
          <w:rFonts w:ascii="Times New Roman" w:hAnsi="Times New Roman" w:cs="Times New Roman"/>
          <w:sz w:val="24"/>
          <w:szCs w:val="24"/>
          <w:lang w:val="en-CA"/>
        </w:rPr>
        <w:t xml:space="preserve"> which was lower than control although the difference was not significant. Conversely, rats fed with diets containing 1% indigestible (group 2) and 5% native proteins (group 4) gained significantly more plasma cholesterol (1.79 and 1.96 </w:t>
      </w:r>
      <w:proofErr w:type="spellStart"/>
      <w:r w:rsidR="00C1589F" w:rsidRPr="00C1589F">
        <w:rPr>
          <w:rFonts w:ascii="Times New Roman" w:hAnsi="Times New Roman" w:cs="Times New Roman"/>
          <w:sz w:val="24"/>
          <w:szCs w:val="24"/>
          <w:lang w:val="en-CA"/>
        </w:rPr>
        <w:t>mmol</w:t>
      </w:r>
      <w:proofErr w:type="spellEnd"/>
      <w:r w:rsidR="00C1589F" w:rsidRPr="00C1589F">
        <w:rPr>
          <w:rFonts w:ascii="Times New Roman" w:hAnsi="Times New Roman" w:cs="Times New Roman"/>
          <w:sz w:val="24"/>
          <w:szCs w:val="24"/>
          <w:lang w:val="en-CA"/>
        </w:rPr>
        <w:t>/L, respectively) than the control group, though this was less pronounced in the male than the female rats.</w:t>
      </w:r>
    </w:p>
    <w:p w:rsidR="00842C7A" w:rsidRPr="008F6A36" w:rsidRDefault="00842C7A" w:rsidP="00842C7A">
      <w:pPr>
        <w:pStyle w:val="Caption"/>
        <w:keepNext/>
        <w:rPr>
          <w:rFonts w:ascii="Times New Roman" w:hAnsi="Times New Roman" w:cs="Times New Roman"/>
          <w:b/>
          <w:color w:val="auto"/>
          <w:sz w:val="24"/>
          <w:szCs w:val="24"/>
        </w:rPr>
      </w:pPr>
      <w:bookmarkStart w:id="11" w:name="_Toc509323990"/>
      <w:r w:rsidRPr="008F6A36">
        <w:rPr>
          <w:rFonts w:ascii="Times New Roman" w:hAnsi="Times New Roman" w:cs="Times New Roman"/>
          <w:b/>
          <w:color w:val="auto"/>
          <w:sz w:val="24"/>
          <w:szCs w:val="24"/>
        </w:rPr>
        <w:t xml:space="preserve">Table </w:t>
      </w:r>
      <w:r w:rsidR="000F417A" w:rsidRPr="008F6A36">
        <w:rPr>
          <w:rFonts w:ascii="Times New Roman" w:hAnsi="Times New Roman" w:cs="Times New Roman"/>
          <w:b/>
          <w:color w:val="auto"/>
          <w:sz w:val="24"/>
          <w:szCs w:val="24"/>
        </w:rPr>
        <w:t>2</w:t>
      </w:r>
      <w:r w:rsidRPr="008F6A36">
        <w:rPr>
          <w:rFonts w:ascii="Times New Roman" w:hAnsi="Times New Roman" w:cs="Times New Roman"/>
          <w:b/>
          <w:color w:val="auto"/>
          <w:sz w:val="24"/>
          <w:szCs w:val="24"/>
        </w:rPr>
        <w:t>:</w:t>
      </w:r>
      <w:r w:rsidR="000F417A" w:rsidRPr="008F6A36">
        <w:rPr>
          <w:rFonts w:ascii="Times New Roman" w:eastAsia="Times New Roman" w:hAnsi="Times New Roman" w:cs="Times New Roman"/>
          <w:b/>
          <w:color w:val="auto"/>
          <w:sz w:val="24"/>
          <w:szCs w:val="24"/>
        </w:rPr>
        <w:t xml:space="preserve"> Plasma total cholesterol</w:t>
      </w:r>
      <w:r w:rsidRPr="008F6A36">
        <w:rPr>
          <w:rFonts w:ascii="Times New Roman" w:eastAsia="Times New Roman" w:hAnsi="Times New Roman" w:cs="Times New Roman"/>
          <w:b/>
          <w:color w:val="auto"/>
          <w:sz w:val="24"/>
          <w:szCs w:val="24"/>
        </w:rPr>
        <w:t xml:space="preserve"> (</w:t>
      </w:r>
      <w:proofErr w:type="spellStart"/>
      <w:r w:rsidRPr="008F6A36">
        <w:rPr>
          <w:rFonts w:ascii="Times New Roman" w:eastAsia="Times New Roman" w:hAnsi="Times New Roman" w:cs="Times New Roman"/>
          <w:b/>
          <w:color w:val="auto"/>
          <w:sz w:val="24"/>
          <w:szCs w:val="24"/>
        </w:rPr>
        <w:t>mmol</w:t>
      </w:r>
      <w:proofErr w:type="spellEnd"/>
      <w:r w:rsidRPr="008F6A36">
        <w:rPr>
          <w:rFonts w:ascii="Times New Roman" w:eastAsia="Times New Roman" w:hAnsi="Times New Roman" w:cs="Times New Roman"/>
          <w:b/>
          <w:color w:val="auto"/>
          <w:sz w:val="24"/>
          <w:szCs w:val="24"/>
        </w:rPr>
        <w:t>/L) level of rats fed with different diets</w:t>
      </w:r>
      <w:bookmarkEnd w:id="11"/>
      <w:r w:rsidR="00060D0A" w:rsidRPr="008F6A36">
        <w:rPr>
          <w:rFonts w:ascii="Times New Roman" w:eastAsia="Times New Roman" w:hAnsi="Times New Roman" w:cs="Times New Roman"/>
          <w:b/>
          <w:color w:val="auto"/>
          <w:sz w:val="24"/>
          <w:szCs w:val="24"/>
        </w:rPr>
        <w:t xml:space="preserve"> with or without black-eye bean indigestible proteins</w:t>
      </w:r>
    </w:p>
    <w:tbl>
      <w:tblPr>
        <w:tblW w:w="8205" w:type="dxa"/>
        <w:tblInd w:w="93" w:type="dxa"/>
        <w:tblLook w:val="04A0" w:firstRow="1" w:lastRow="0" w:firstColumn="1" w:lastColumn="0" w:noHBand="0" w:noVBand="1"/>
      </w:tblPr>
      <w:tblGrid>
        <w:gridCol w:w="1272"/>
        <w:gridCol w:w="1443"/>
        <w:gridCol w:w="175"/>
        <w:gridCol w:w="1618"/>
        <w:gridCol w:w="277"/>
        <w:gridCol w:w="1194"/>
        <w:gridCol w:w="696"/>
        <w:gridCol w:w="1530"/>
      </w:tblGrid>
      <w:tr w:rsidR="00842C7A" w:rsidRPr="00296794" w:rsidTr="002E0F8D">
        <w:trPr>
          <w:trHeight w:val="298"/>
        </w:trPr>
        <w:tc>
          <w:tcPr>
            <w:tcW w:w="1272" w:type="dxa"/>
            <w:vMerge w:val="restart"/>
            <w:tcBorders>
              <w:top w:val="single" w:sz="4" w:space="0" w:color="auto"/>
              <w:left w:val="nil"/>
              <w:right w:val="nil"/>
            </w:tcBorders>
            <w:shd w:val="clear" w:color="auto" w:fill="auto"/>
            <w:noWrap/>
            <w:vAlign w:val="bottom"/>
            <w:hideMark/>
          </w:tcPr>
          <w:p w:rsidR="00842C7A" w:rsidRPr="00296794" w:rsidRDefault="00842C7A" w:rsidP="005F1E85">
            <w:pPr>
              <w:spacing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Group</w:t>
            </w:r>
          </w:p>
        </w:tc>
        <w:tc>
          <w:tcPr>
            <w:tcW w:w="6933" w:type="dxa"/>
            <w:gridSpan w:val="7"/>
            <w:tcBorders>
              <w:top w:val="single" w:sz="4" w:space="0" w:color="auto"/>
              <w:left w:val="nil"/>
              <w:bottom w:val="single" w:sz="4" w:space="0" w:color="auto"/>
              <w:right w:val="nil"/>
            </w:tcBorders>
            <w:shd w:val="clear" w:color="auto" w:fill="auto"/>
            <w:noWrap/>
            <w:vAlign w:val="bottom"/>
            <w:hideMark/>
          </w:tcPr>
          <w:p w:rsidR="00842C7A" w:rsidRPr="00296794" w:rsidRDefault="00842C7A" w:rsidP="005F1E85">
            <w:pPr>
              <w:spacing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Female</w:t>
            </w:r>
          </w:p>
        </w:tc>
      </w:tr>
      <w:tr w:rsidR="00842C7A" w:rsidRPr="00296794" w:rsidTr="002E0F8D">
        <w:trPr>
          <w:trHeight w:val="298"/>
        </w:trPr>
        <w:tc>
          <w:tcPr>
            <w:tcW w:w="1272" w:type="dxa"/>
            <w:vMerge/>
            <w:tcBorders>
              <w:left w:val="nil"/>
              <w:bottom w:val="single" w:sz="4" w:space="0" w:color="auto"/>
              <w:right w:val="nil"/>
            </w:tcBorders>
            <w:shd w:val="clear" w:color="auto" w:fill="auto"/>
            <w:noWrap/>
            <w:vAlign w:val="bottom"/>
            <w:hideMark/>
          </w:tcPr>
          <w:p w:rsidR="00842C7A" w:rsidRPr="00296794" w:rsidRDefault="00842C7A" w:rsidP="005F1E85">
            <w:pPr>
              <w:spacing w:line="360" w:lineRule="auto"/>
              <w:jc w:val="center"/>
              <w:rPr>
                <w:rFonts w:ascii="Calibri" w:eastAsia="Times New Roman" w:hAnsi="Calibri"/>
                <w:color w:val="000000"/>
                <w:sz w:val="24"/>
                <w:szCs w:val="24"/>
              </w:rPr>
            </w:pPr>
          </w:p>
        </w:tc>
        <w:tc>
          <w:tcPr>
            <w:tcW w:w="1443" w:type="dxa"/>
            <w:tcBorders>
              <w:top w:val="single" w:sz="4" w:space="0" w:color="auto"/>
              <w:left w:val="nil"/>
              <w:bottom w:val="single" w:sz="4" w:space="0" w:color="auto"/>
              <w:right w:val="nil"/>
            </w:tcBorders>
            <w:shd w:val="clear" w:color="auto" w:fill="auto"/>
            <w:noWrap/>
            <w:vAlign w:val="bottom"/>
            <w:hideMark/>
          </w:tcPr>
          <w:p w:rsidR="00842C7A" w:rsidRDefault="00842C7A" w:rsidP="002E0F8D">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1</w:t>
            </w:r>
          </w:p>
          <w:p w:rsidR="002E0F8D" w:rsidRPr="00296794" w:rsidRDefault="002E0F8D" w:rsidP="002E0F8D">
            <w:pPr>
              <w:spacing w:after="0" w:line="360" w:lineRule="auto"/>
              <w:jc w:val="center"/>
              <w:rPr>
                <w:rFonts w:ascii="Calibri" w:eastAsia="Times New Roman" w:hAnsi="Calibri"/>
                <w:color w:val="000000"/>
                <w:sz w:val="24"/>
                <w:szCs w:val="24"/>
              </w:rPr>
            </w:pPr>
            <w:r>
              <w:rPr>
                <w:rFonts w:ascii="Calibri" w:eastAsia="Times New Roman" w:hAnsi="Calibri"/>
                <w:color w:val="000000"/>
                <w:sz w:val="24"/>
                <w:szCs w:val="24"/>
              </w:rPr>
              <w:t>(Control diet)</w:t>
            </w:r>
          </w:p>
        </w:tc>
        <w:tc>
          <w:tcPr>
            <w:tcW w:w="2070" w:type="dxa"/>
            <w:gridSpan w:val="3"/>
            <w:tcBorders>
              <w:top w:val="single" w:sz="4" w:space="0" w:color="auto"/>
              <w:left w:val="nil"/>
              <w:bottom w:val="single" w:sz="4" w:space="0" w:color="auto"/>
              <w:right w:val="nil"/>
            </w:tcBorders>
            <w:shd w:val="clear" w:color="auto" w:fill="auto"/>
            <w:noWrap/>
            <w:vAlign w:val="bottom"/>
            <w:hideMark/>
          </w:tcPr>
          <w:p w:rsidR="00842C7A" w:rsidRDefault="00842C7A" w:rsidP="002E0F8D">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2</w:t>
            </w:r>
          </w:p>
          <w:p w:rsidR="002E0F8D" w:rsidRPr="00296794" w:rsidRDefault="002E0F8D" w:rsidP="002E0F8D">
            <w:pPr>
              <w:spacing w:after="0" w:line="360" w:lineRule="auto"/>
              <w:jc w:val="center"/>
              <w:rPr>
                <w:rFonts w:ascii="Calibri" w:eastAsia="Times New Roman" w:hAnsi="Calibri"/>
                <w:color w:val="000000"/>
                <w:sz w:val="24"/>
                <w:szCs w:val="24"/>
              </w:rPr>
            </w:pPr>
            <w:r>
              <w:rPr>
                <w:rFonts w:ascii="Calibri" w:eastAsia="Times New Roman" w:hAnsi="Calibri"/>
                <w:color w:val="000000"/>
                <w:sz w:val="24"/>
                <w:szCs w:val="24"/>
              </w:rPr>
              <w:t>(1% indigestible proteins)</w:t>
            </w:r>
          </w:p>
        </w:tc>
        <w:tc>
          <w:tcPr>
            <w:tcW w:w="1890" w:type="dxa"/>
            <w:gridSpan w:val="2"/>
            <w:tcBorders>
              <w:top w:val="single" w:sz="4" w:space="0" w:color="auto"/>
              <w:left w:val="nil"/>
              <w:bottom w:val="single" w:sz="4" w:space="0" w:color="auto"/>
              <w:right w:val="nil"/>
            </w:tcBorders>
            <w:shd w:val="clear" w:color="auto" w:fill="auto"/>
            <w:noWrap/>
            <w:vAlign w:val="bottom"/>
            <w:hideMark/>
          </w:tcPr>
          <w:p w:rsidR="00842C7A" w:rsidRDefault="00842C7A" w:rsidP="002E0F8D">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3</w:t>
            </w:r>
          </w:p>
          <w:p w:rsidR="002E0F8D" w:rsidRPr="00296794" w:rsidRDefault="002E0F8D" w:rsidP="002E0F8D">
            <w:pPr>
              <w:spacing w:after="0" w:line="360" w:lineRule="auto"/>
              <w:jc w:val="center"/>
              <w:rPr>
                <w:rFonts w:ascii="Calibri" w:eastAsia="Times New Roman" w:hAnsi="Calibri"/>
                <w:color w:val="000000"/>
                <w:sz w:val="24"/>
                <w:szCs w:val="24"/>
              </w:rPr>
            </w:pPr>
            <w:r>
              <w:rPr>
                <w:rFonts w:ascii="Calibri" w:eastAsia="Times New Roman" w:hAnsi="Calibri"/>
                <w:color w:val="000000"/>
                <w:sz w:val="24"/>
                <w:szCs w:val="24"/>
              </w:rPr>
              <w:t>(5% indigestible proteins)</w:t>
            </w:r>
          </w:p>
        </w:tc>
        <w:tc>
          <w:tcPr>
            <w:tcW w:w="1530" w:type="dxa"/>
            <w:tcBorders>
              <w:top w:val="single" w:sz="4" w:space="0" w:color="auto"/>
              <w:left w:val="nil"/>
              <w:bottom w:val="single" w:sz="4" w:space="0" w:color="auto"/>
              <w:right w:val="nil"/>
            </w:tcBorders>
            <w:shd w:val="clear" w:color="auto" w:fill="auto"/>
            <w:noWrap/>
            <w:vAlign w:val="bottom"/>
            <w:hideMark/>
          </w:tcPr>
          <w:p w:rsidR="00842C7A" w:rsidRDefault="00842C7A" w:rsidP="002E0F8D">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4</w:t>
            </w:r>
          </w:p>
          <w:p w:rsidR="002E0F8D" w:rsidRPr="00296794" w:rsidRDefault="002E0F8D" w:rsidP="002E0F8D">
            <w:pPr>
              <w:spacing w:after="0" w:line="360" w:lineRule="auto"/>
              <w:jc w:val="center"/>
              <w:rPr>
                <w:rFonts w:ascii="Calibri" w:eastAsia="Times New Roman" w:hAnsi="Calibri"/>
                <w:color w:val="000000"/>
                <w:sz w:val="24"/>
                <w:szCs w:val="24"/>
              </w:rPr>
            </w:pPr>
            <w:r>
              <w:rPr>
                <w:rFonts w:ascii="Calibri" w:eastAsia="Times New Roman" w:hAnsi="Calibri"/>
                <w:color w:val="000000"/>
                <w:sz w:val="24"/>
                <w:szCs w:val="24"/>
              </w:rPr>
              <w:t>(5% protein isolate)</w:t>
            </w:r>
          </w:p>
        </w:tc>
      </w:tr>
      <w:tr w:rsidR="00842C7A" w:rsidRPr="00296794" w:rsidTr="002E0F8D">
        <w:trPr>
          <w:trHeight w:val="314"/>
        </w:trPr>
        <w:tc>
          <w:tcPr>
            <w:tcW w:w="1272" w:type="dxa"/>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baseline</w:t>
            </w:r>
          </w:p>
        </w:tc>
        <w:tc>
          <w:tcPr>
            <w:tcW w:w="1443" w:type="dxa"/>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3.51±0.21</w:t>
            </w:r>
            <w:r w:rsidRPr="00296794">
              <w:rPr>
                <w:rFonts w:ascii="Calibri" w:eastAsia="Times New Roman" w:hAnsi="Calibri"/>
                <w:color w:val="000000"/>
                <w:sz w:val="24"/>
                <w:szCs w:val="24"/>
                <w:vertAlign w:val="superscript"/>
              </w:rPr>
              <w:t>b</w:t>
            </w:r>
          </w:p>
        </w:tc>
        <w:tc>
          <w:tcPr>
            <w:tcW w:w="2070" w:type="dxa"/>
            <w:gridSpan w:val="3"/>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2.46±0.10</w:t>
            </w:r>
            <w:r w:rsidRPr="00296794">
              <w:rPr>
                <w:rFonts w:ascii="Calibri" w:eastAsia="Times New Roman" w:hAnsi="Calibri"/>
                <w:color w:val="000000"/>
                <w:sz w:val="24"/>
                <w:szCs w:val="24"/>
                <w:vertAlign w:val="superscript"/>
              </w:rPr>
              <w:t>a</w:t>
            </w:r>
          </w:p>
        </w:tc>
        <w:tc>
          <w:tcPr>
            <w:tcW w:w="1890" w:type="dxa"/>
            <w:gridSpan w:val="2"/>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2.51±0.06</w:t>
            </w:r>
            <w:r w:rsidRPr="00296794">
              <w:rPr>
                <w:rFonts w:ascii="Calibri" w:eastAsia="Times New Roman" w:hAnsi="Calibri"/>
                <w:color w:val="000000"/>
                <w:sz w:val="24"/>
                <w:szCs w:val="24"/>
                <w:vertAlign w:val="superscript"/>
              </w:rPr>
              <w:t>a</w:t>
            </w:r>
          </w:p>
        </w:tc>
        <w:tc>
          <w:tcPr>
            <w:tcW w:w="1530" w:type="dxa"/>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3.16±0.05</w:t>
            </w:r>
            <w:r w:rsidRPr="00296794">
              <w:rPr>
                <w:rFonts w:ascii="Calibri" w:eastAsia="Times New Roman" w:hAnsi="Calibri"/>
                <w:color w:val="000000"/>
                <w:sz w:val="24"/>
                <w:szCs w:val="24"/>
                <w:vertAlign w:val="superscript"/>
              </w:rPr>
              <w:t>b</w:t>
            </w:r>
          </w:p>
        </w:tc>
      </w:tr>
      <w:tr w:rsidR="00842C7A" w:rsidRPr="00296794" w:rsidTr="002E0F8D">
        <w:trPr>
          <w:trHeight w:val="33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week1</w:t>
            </w:r>
          </w:p>
        </w:tc>
        <w:tc>
          <w:tcPr>
            <w:tcW w:w="1443"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9.15±1.95</w:t>
            </w:r>
            <w:r w:rsidRPr="00296794">
              <w:rPr>
                <w:rFonts w:ascii="Calibri" w:eastAsia="Times New Roman" w:hAnsi="Calibri"/>
                <w:color w:val="000000"/>
                <w:sz w:val="24"/>
                <w:szCs w:val="24"/>
                <w:vertAlign w:val="superscript"/>
              </w:rPr>
              <w:t>ab</w:t>
            </w:r>
          </w:p>
        </w:tc>
        <w:tc>
          <w:tcPr>
            <w:tcW w:w="2070" w:type="dxa"/>
            <w:gridSpan w:val="3"/>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9.08±0.64</w:t>
            </w:r>
            <w:r w:rsidRPr="00296794">
              <w:rPr>
                <w:rFonts w:ascii="Calibri" w:eastAsia="Times New Roman" w:hAnsi="Calibri"/>
                <w:color w:val="000000"/>
                <w:sz w:val="24"/>
                <w:szCs w:val="24"/>
                <w:vertAlign w:val="superscript"/>
              </w:rPr>
              <w:t>ab</w:t>
            </w:r>
          </w:p>
        </w:tc>
        <w:tc>
          <w:tcPr>
            <w:tcW w:w="1890"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4.35±0.60</w:t>
            </w:r>
            <w:r w:rsidRPr="00296794">
              <w:rPr>
                <w:rFonts w:ascii="Calibri" w:eastAsia="Times New Roman" w:hAnsi="Calibri"/>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12.47±2.02</w:t>
            </w:r>
            <w:r w:rsidRPr="00296794">
              <w:rPr>
                <w:rFonts w:ascii="Calibri" w:eastAsia="Times New Roman" w:hAnsi="Calibri"/>
                <w:color w:val="000000"/>
                <w:sz w:val="24"/>
                <w:szCs w:val="24"/>
                <w:vertAlign w:val="superscript"/>
              </w:rPr>
              <w:t>b</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week2</w:t>
            </w:r>
          </w:p>
        </w:tc>
        <w:tc>
          <w:tcPr>
            <w:tcW w:w="1443"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6.28±0.91</w:t>
            </w:r>
            <w:r w:rsidRPr="00296794">
              <w:rPr>
                <w:rFonts w:ascii="Calibri" w:eastAsia="Times New Roman" w:hAnsi="Calibri"/>
                <w:color w:val="000000"/>
                <w:sz w:val="24"/>
                <w:szCs w:val="24"/>
                <w:vertAlign w:val="superscript"/>
              </w:rPr>
              <w:t>b</w:t>
            </w:r>
          </w:p>
        </w:tc>
        <w:tc>
          <w:tcPr>
            <w:tcW w:w="2070" w:type="dxa"/>
            <w:gridSpan w:val="3"/>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5.23±0.47</w:t>
            </w:r>
            <w:r w:rsidRPr="00296794">
              <w:rPr>
                <w:rFonts w:ascii="Calibri" w:eastAsia="Times New Roman" w:hAnsi="Calibri"/>
                <w:color w:val="000000"/>
                <w:sz w:val="24"/>
                <w:szCs w:val="24"/>
                <w:vertAlign w:val="superscript"/>
              </w:rPr>
              <w:t>ab</w:t>
            </w:r>
          </w:p>
        </w:tc>
        <w:tc>
          <w:tcPr>
            <w:tcW w:w="1890"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2.97±0.70</w:t>
            </w:r>
            <w:r w:rsidRPr="00296794">
              <w:rPr>
                <w:rFonts w:ascii="Calibri" w:eastAsia="Times New Roman" w:hAnsi="Calibri"/>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6.88±0.46</w:t>
            </w:r>
            <w:r w:rsidRPr="00296794">
              <w:rPr>
                <w:rFonts w:ascii="Calibri" w:eastAsia="Times New Roman" w:hAnsi="Calibri"/>
                <w:color w:val="000000"/>
                <w:sz w:val="24"/>
                <w:szCs w:val="24"/>
                <w:vertAlign w:val="superscript"/>
              </w:rPr>
              <w:t>b</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week3</w:t>
            </w:r>
          </w:p>
        </w:tc>
        <w:tc>
          <w:tcPr>
            <w:tcW w:w="1443"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9.70±2.03</w:t>
            </w:r>
            <w:r w:rsidRPr="00296794">
              <w:rPr>
                <w:rFonts w:ascii="Calibri" w:eastAsia="Times New Roman" w:hAnsi="Calibri"/>
                <w:color w:val="000000"/>
                <w:sz w:val="24"/>
                <w:szCs w:val="24"/>
                <w:vertAlign w:val="superscript"/>
              </w:rPr>
              <w:t>a</w:t>
            </w:r>
          </w:p>
        </w:tc>
        <w:tc>
          <w:tcPr>
            <w:tcW w:w="2070" w:type="dxa"/>
            <w:gridSpan w:val="3"/>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7.33±0.08</w:t>
            </w:r>
            <w:r w:rsidRPr="00296794">
              <w:rPr>
                <w:rFonts w:ascii="Calibri" w:eastAsia="Times New Roman" w:hAnsi="Calibri"/>
                <w:color w:val="000000"/>
                <w:sz w:val="24"/>
                <w:szCs w:val="24"/>
                <w:vertAlign w:val="superscript"/>
              </w:rPr>
              <w:t>a</w:t>
            </w:r>
          </w:p>
        </w:tc>
        <w:tc>
          <w:tcPr>
            <w:tcW w:w="1890"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2.82±0.03</w:t>
            </w:r>
            <w:r w:rsidRPr="00296794">
              <w:rPr>
                <w:rFonts w:ascii="Calibri" w:eastAsia="Times New Roman" w:hAnsi="Calibri"/>
                <w:color w:val="000000"/>
                <w:sz w:val="24"/>
                <w:szCs w:val="24"/>
                <w:vertAlign w:val="superscript"/>
              </w:rPr>
              <w:t>b</w:t>
            </w:r>
          </w:p>
        </w:tc>
        <w:tc>
          <w:tcPr>
            <w:tcW w:w="1530"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3.16±0.35</w:t>
            </w:r>
            <w:r w:rsidRPr="00296794">
              <w:rPr>
                <w:rFonts w:ascii="Calibri" w:eastAsia="Times New Roman" w:hAnsi="Calibri"/>
                <w:color w:val="000000"/>
                <w:sz w:val="24"/>
                <w:szCs w:val="24"/>
                <w:vertAlign w:val="superscript"/>
              </w:rPr>
              <w:t>b</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week4</w:t>
            </w:r>
          </w:p>
        </w:tc>
        <w:tc>
          <w:tcPr>
            <w:tcW w:w="1443"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5.58±0.20</w:t>
            </w:r>
            <w:r w:rsidRPr="00296794">
              <w:rPr>
                <w:rFonts w:ascii="Calibri" w:eastAsia="Times New Roman" w:hAnsi="Calibri"/>
                <w:color w:val="000000"/>
                <w:sz w:val="24"/>
                <w:szCs w:val="24"/>
                <w:vertAlign w:val="superscript"/>
              </w:rPr>
              <w:t>b</w:t>
            </w:r>
          </w:p>
        </w:tc>
        <w:tc>
          <w:tcPr>
            <w:tcW w:w="2070" w:type="dxa"/>
            <w:gridSpan w:val="3"/>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6.23±0.18</w:t>
            </w:r>
            <w:r w:rsidRPr="00296794">
              <w:rPr>
                <w:rFonts w:ascii="Calibri" w:eastAsia="Times New Roman" w:hAnsi="Calibri"/>
                <w:color w:val="000000"/>
                <w:sz w:val="24"/>
                <w:szCs w:val="24"/>
                <w:vertAlign w:val="superscript"/>
              </w:rPr>
              <w:t>b</w:t>
            </w:r>
          </w:p>
        </w:tc>
        <w:tc>
          <w:tcPr>
            <w:tcW w:w="1890"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3.16±0.64</w:t>
            </w:r>
            <w:r w:rsidRPr="00296794">
              <w:rPr>
                <w:rFonts w:ascii="Calibri" w:eastAsia="Times New Roman" w:hAnsi="Calibri"/>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8.56±0.02</w:t>
            </w:r>
            <w:r w:rsidRPr="00296794">
              <w:rPr>
                <w:rFonts w:ascii="Calibri" w:eastAsia="Times New Roman" w:hAnsi="Calibri"/>
                <w:color w:val="000000"/>
                <w:sz w:val="24"/>
                <w:szCs w:val="24"/>
                <w:vertAlign w:val="superscript"/>
              </w:rPr>
              <w:t>c</w:t>
            </w:r>
          </w:p>
        </w:tc>
      </w:tr>
      <w:tr w:rsidR="00842C7A" w:rsidRPr="00296794" w:rsidTr="002E0F8D">
        <w:trPr>
          <w:trHeight w:val="314"/>
        </w:trPr>
        <w:tc>
          <w:tcPr>
            <w:tcW w:w="1272"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week5</w:t>
            </w:r>
          </w:p>
        </w:tc>
        <w:tc>
          <w:tcPr>
            <w:tcW w:w="1443"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5.60±0.16</w:t>
            </w:r>
            <w:r w:rsidRPr="00296794">
              <w:rPr>
                <w:rFonts w:ascii="Calibri" w:eastAsia="Times New Roman" w:hAnsi="Calibri"/>
                <w:color w:val="000000"/>
                <w:sz w:val="24"/>
                <w:szCs w:val="24"/>
                <w:vertAlign w:val="superscript"/>
              </w:rPr>
              <w:t>b</w:t>
            </w:r>
          </w:p>
        </w:tc>
        <w:tc>
          <w:tcPr>
            <w:tcW w:w="2070" w:type="dxa"/>
            <w:gridSpan w:val="3"/>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11.50±0.37</w:t>
            </w:r>
            <w:r w:rsidRPr="00296794">
              <w:rPr>
                <w:rFonts w:ascii="Calibri" w:eastAsia="Times New Roman" w:hAnsi="Calibri"/>
                <w:color w:val="000000"/>
                <w:sz w:val="24"/>
                <w:szCs w:val="24"/>
                <w:vertAlign w:val="superscript"/>
              </w:rPr>
              <w:t>c</w:t>
            </w:r>
          </w:p>
        </w:tc>
        <w:tc>
          <w:tcPr>
            <w:tcW w:w="1890"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3.50±0.24</w:t>
            </w:r>
            <w:r w:rsidRPr="00296794">
              <w:rPr>
                <w:rFonts w:ascii="Calibri" w:eastAsia="Times New Roman" w:hAnsi="Calibri"/>
                <w:color w:val="000000"/>
                <w:sz w:val="24"/>
                <w:szCs w:val="24"/>
                <w:vertAlign w:val="superscript"/>
              </w:rPr>
              <w:t>a</w:t>
            </w:r>
          </w:p>
        </w:tc>
        <w:tc>
          <w:tcPr>
            <w:tcW w:w="1530"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13.69±0.37</w:t>
            </w:r>
            <w:r w:rsidRPr="00296794">
              <w:rPr>
                <w:rFonts w:ascii="Calibri" w:eastAsia="Times New Roman" w:hAnsi="Calibri"/>
                <w:color w:val="000000"/>
                <w:sz w:val="24"/>
                <w:szCs w:val="24"/>
                <w:vertAlign w:val="superscript"/>
              </w:rPr>
              <w:t>d</w:t>
            </w:r>
          </w:p>
        </w:tc>
      </w:tr>
      <w:tr w:rsidR="00842C7A" w:rsidRPr="00296794" w:rsidTr="002E0F8D">
        <w:trPr>
          <w:trHeight w:val="314"/>
        </w:trPr>
        <w:tc>
          <w:tcPr>
            <w:tcW w:w="1272"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week6</w:t>
            </w:r>
          </w:p>
        </w:tc>
        <w:tc>
          <w:tcPr>
            <w:tcW w:w="1443"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10.33±1.01</w:t>
            </w:r>
            <w:r w:rsidRPr="00296794">
              <w:rPr>
                <w:rFonts w:ascii="Calibri" w:eastAsia="Times New Roman" w:hAnsi="Calibri"/>
                <w:color w:val="000000"/>
                <w:sz w:val="24"/>
                <w:szCs w:val="24"/>
                <w:vertAlign w:val="superscript"/>
              </w:rPr>
              <w:t>b</w:t>
            </w:r>
          </w:p>
        </w:tc>
        <w:tc>
          <w:tcPr>
            <w:tcW w:w="2070" w:type="dxa"/>
            <w:gridSpan w:val="3"/>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13.95±0.16</w:t>
            </w:r>
            <w:r w:rsidRPr="00296794">
              <w:rPr>
                <w:rFonts w:ascii="Calibri" w:eastAsia="Times New Roman" w:hAnsi="Calibri"/>
                <w:color w:val="000000"/>
                <w:sz w:val="24"/>
                <w:szCs w:val="24"/>
                <w:vertAlign w:val="superscript"/>
              </w:rPr>
              <w:t>c</w:t>
            </w:r>
          </w:p>
        </w:tc>
        <w:tc>
          <w:tcPr>
            <w:tcW w:w="1890"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4.95±0.42</w:t>
            </w:r>
            <w:r w:rsidRPr="00296794">
              <w:rPr>
                <w:rFonts w:ascii="Calibri" w:eastAsia="Times New Roman" w:hAnsi="Calibri"/>
                <w:color w:val="000000"/>
                <w:sz w:val="24"/>
                <w:szCs w:val="24"/>
                <w:vertAlign w:val="superscript"/>
              </w:rPr>
              <w:t>a</w:t>
            </w:r>
          </w:p>
        </w:tc>
        <w:tc>
          <w:tcPr>
            <w:tcW w:w="1530"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19.87±1.20</w:t>
            </w:r>
            <w:r w:rsidRPr="00296794">
              <w:rPr>
                <w:rFonts w:ascii="Calibri" w:eastAsia="Times New Roman" w:hAnsi="Calibri"/>
                <w:color w:val="000000"/>
                <w:sz w:val="24"/>
                <w:szCs w:val="24"/>
                <w:vertAlign w:val="superscript"/>
              </w:rPr>
              <w:t>d</w:t>
            </w:r>
          </w:p>
        </w:tc>
      </w:tr>
      <w:tr w:rsidR="00842C7A" w:rsidRPr="00296794" w:rsidTr="002E0F8D">
        <w:trPr>
          <w:trHeight w:val="314"/>
        </w:trPr>
        <w:tc>
          <w:tcPr>
            <w:tcW w:w="1272" w:type="dxa"/>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TC gain</w:t>
            </w:r>
            <w:r w:rsidRPr="00296794">
              <w:rPr>
                <w:rFonts w:ascii="Calibri" w:eastAsia="Times New Roman" w:hAnsi="Calibri"/>
                <w:color w:val="000000"/>
                <w:sz w:val="24"/>
                <w:szCs w:val="24"/>
                <w:vertAlign w:val="superscript"/>
              </w:rPr>
              <w:t>1</w:t>
            </w:r>
          </w:p>
        </w:tc>
        <w:tc>
          <w:tcPr>
            <w:tcW w:w="1443" w:type="dxa"/>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6.82</w:t>
            </w:r>
            <w:r w:rsidRPr="00296794">
              <w:rPr>
                <w:rFonts w:ascii="Calibri" w:eastAsia="Times New Roman" w:hAnsi="Calibri"/>
                <w:color w:val="000000"/>
                <w:sz w:val="24"/>
                <w:szCs w:val="24"/>
                <w:vertAlign w:val="superscript"/>
              </w:rPr>
              <w:t>b</w:t>
            </w:r>
          </w:p>
        </w:tc>
        <w:tc>
          <w:tcPr>
            <w:tcW w:w="2070" w:type="dxa"/>
            <w:gridSpan w:val="3"/>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11.49</w:t>
            </w:r>
            <w:r w:rsidRPr="00296794">
              <w:rPr>
                <w:rFonts w:ascii="Calibri" w:eastAsia="Times New Roman" w:hAnsi="Calibri"/>
                <w:color w:val="000000"/>
                <w:sz w:val="24"/>
                <w:szCs w:val="24"/>
                <w:vertAlign w:val="superscript"/>
              </w:rPr>
              <w:t>c</w:t>
            </w:r>
          </w:p>
        </w:tc>
        <w:tc>
          <w:tcPr>
            <w:tcW w:w="1890" w:type="dxa"/>
            <w:gridSpan w:val="2"/>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2.43</w:t>
            </w:r>
            <w:r w:rsidRPr="00296794">
              <w:rPr>
                <w:rFonts w:ascii="Calibri" w:eastAsia="Times New Roman" w:hAnsi="Calibri"/>
                <w:color w:val="000000"/>
                <w:sz w:val="24"/>
                <w:szCs w:val="24"/>
                <w:vertAlign w:val="superscript"/>
              </w:rPr>
              <w:t>a</w:t>
            </w:r>
          </w:p>
        </w:tc>
        <w:tc>
          <w:tcPr>
            <w:tcW w:w="1530" w:type="dxa"/>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16.71</w:t>
            </w:r>
            <w:r w:rsidRPr="00296794">
              <w:rPr>
                <w:rFonts w:ascii="Calibri" w:eastAsia="Times New Roman" w:hAnsi="Calibri"/>
                <w:color w:val="000000"/>
                <w:sz w:val="24"/>
                <w:szCs w:val="24"/>
                <w:vertAlign w:val="superscript"/>
              </w:rPr>
              <w:t>d</w:t>
            </w:r>
          </w:p>
        </w:tc>
      </w:tr>
      <w:tr w:rsidR="00842C7A" w:rsidRPr="00296794" w:rsidTr="002E0F8D">
        <w:trPr>
          <w:trHeight w:val="298"/>
        </w:trPr>
        <w:tc>
          <w:tcPr>
            <w:tcW w:w="1272" w:type="dxa"/>
            <w:tcBorders>
              <w:top w:val="single" w:sz="4" w:space="0" w:color="auto"/>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p>
        </w:tc>
        <w:tc>
          <w:tcPr>
            <w:tcW w:w="6933" w:type="dxa"/>
            <w:gridSpan w:val="7"/>
            <w:tcBorders>
              <w:top w:val="single" w:sz="4" w:space="0" w:color="auto"/>
              <w:left w:val="nil"/>
              <w:bottom w:val="single" w:sz="4" w:space="0" w:color="auto"/>
              <w:right w:val="nil"/>
            </w:tcBorders>
            <w:shd w:val="clear" w:color="auto" w:fill="auto"/>
            <w:noWrap/>
            <w:vAlign w:val="bottom"/>
            <w:hideMark/>
          </w:tcPr>
          <w:p w:rsidR="002C7F4D" w:rsidRDefault="002C7F4D" w:rsidP="00C11A1C">
            <w:pPr>
              <w:spacing w:after="0" w:line="360" w:lineRule="auto"/>
              <w:jc w:val="center"/>
              <w:rPr>
                <w:rFonts w:ascii="Calibri" w:eastAsia="Times New Roman" w:hAnsi="Calibri"/>
                <w:color w:val="000000"/>
                <w:sz w:val="24"/>
                <w:szCs w:val="24"/>
              </w:rPr>
            </w:pPr>
          </w:p>
          <w:p w:rsidR="00842C7A" w:rsidRPr="00296794" w:rsidRDefault="00842C7A" w:rsidP="00C11A1C">
            <w:pPr>
              <w:spacing w:after="0" w:line="360" w:lineRule="auto"/>
              <w:jc w:val="center"/>
              <w:rPr>
                <w:rFonts w:ascii="Calibri" w:eastAsia="Times New Roman" w:hAnsi="Calibri"/>
                <w:color w:val="000000"/>
                <w:sz w:val="24"/>
                <w:szCs w:val="24"/>
              </w:rPr>
            </w:pPr>
            <w:bookmarkStart w:id="12" w:name="_GoBack"/>
            <w:bookmarkEnd w:id="12"/>
            <w:r w:rsidRPr="00296794">
              <w:rPr>
                <w:rFonts w:ascii="Calibri" w:eastAsia="Times New Roman" w:hAnsi="Calibri"/>
                <w:color w:val="000000"/>
                <w:sz w:val="24"/>
                <w:szCs w:val="24"/>
              </w:rPr>
              <w:lastRenderedPageBreak/>
              <w:t>Male</w:t>
            </w:r>
          </w:p>
        </w:tc>
      </w:tr>
      <w:tr w:rsidR="00842C7A" w:rsidRPr="00296794" w:rsidTr="002E0F8D">
        <w:trPr>
          <w:trHeight w:val="298"/>
        </w:trPr>
        <w:tc>
          <w:tcPr>
            <w:tcW w:w="1272" w:type="dxa"/>
            <w:tcBorders>
              <w:left w:val="nil"/>
              <w:bottom w:val="single" w:sz="4" w:space="0" w:color="auto"/>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lastRenderedPageBreak/>
              <w:t>Group</w:t>
            </w:r>
          </w:p>
        </w:tc>
        <w:tc>
          <w:tcPr>
            <w:tcW w:w="1618" w:type="dxa"/>
            <w:gridSpan w:val="2"/>
            <w:tcBorders>
              <w:top w:val="single" w:sz="4" w:space="0" w:color="auto"/>
              <w:left w:val="nil"/>
              <w:bottom w:val="single" w:sz="4" w:space="0" w:color="auto"/>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1</w:t>
            </w:r>
          </w:p>
        </w:tc>
        <w:tc>
          <w:tcPr>
            <w:tcW w:w="1618" w:type="dxa"/>
            <w:tcBorders>
              <w:top w:val="single" w:sz="4" w:space="0" w:color="auto"/>
              <w:left w:val="nil"/>
              <w:bottom w:val="single" w:sz="4" w:space="0" w:color="auto"/>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2</w:t>
            </w:r>
          </w:p>
        </w:tc>
        <w:tc>
          <w:tcPr>
            <w:tcW w:w="1471" w:type="dxa"/>
            <w:gridSpan w:val="2"/>
            <w:tcBorders>
              <w:top w:val="single" w:sz="4" w:space="0" w:color="auto"/>
              <w:left w:val="nil"/>
              <w:bottom w:val="single" w:sz="4" w:space="0" w:color="auto"/>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3</w:t>
            </w:r>
          </w:p>
        </w:tc>
        <w:tc>
          <w:tcPr>
            <w:tcW w:w="2226" w:type="dxa"/>
            <w:gridSpan w:val="2"/>
            <w:tcBorders>
              <w:top w:val="single" w:sz="4" w:space="0" w:color="auto"/>
              <w:left w:val="nil"/>
              <w:bottom w:val="single" w:sz="4" w:space="0" w:color="auto"/>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4</w:t>
            </w:r>
          </w:p>
        </w:tc>
      </w:tr>
      <w:tr w:rsidR="00842C7A" w:rsidRPr="00296794" w:rsidTr="002E0F8D">
        <w:trPr>
          <w:trHeight w:val="314"/>
        </w:trPr>
        <w:tc>
          <w:tcPr>
            <w:tcW w:w="1272" w:type="dxa"/>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baseline</w:t>
            </w:r>
          </w:p>
        </w:tc>
        <w:tc>
          <w:tcPr>
            <w:tcW w:w="1618" w:type="dxa"/>
            <w:gridSpan w:val="2"/>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3.75±0.10</w:t>
            </w:r>
            <w:r w:rsidRPr="00296794">
              <w:rPr>
                <w:rFonts w:ascii="Calibri" w:eastAsia="Times New Roman" w:hAnsi="Calibri"/>
                <w:color w:val="000000"/>
                <w:sz w:val="24"/>
                <w:szCs w:val="24"/>
                <w:vertAlign w:val="superscript"/>
              </w:rPr>
              <w:t>b</w:t>
            </w:r>
          </w:p>
        </w:tc>
        <w:tc>
          <w:tcPr>
            <w:tcW w:w="1618" w:type="dxa"/>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3.49±0.08</w:t>
            </w:r>
            <w:r w:rsidRPr="00296794">
              <w:rPr>
                <w:rFonts w:ascii="Calibri" w:eastAsia="Times New Roman" w:hAnsi="Calibri"/>
                <w:color w:val="000000"/>
                <w:sz w:val="24"/>
                <w:szCs w:val="24"/>
                <w:vertAlign w:val="superscript"/>
              </w:rPr>
              <w:t>b</w:t>
            </w:r>
          </w:p>
        </w:tc>
        <w:tc>
          <w:tcPr>
            <w:tcW w:w="1471" w:type="dxa"/>
            <w:gridSpan w:val="2"/>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2.63±0.10</w:t>
            </w:r>
            <w:r w:rsidRPr="00296794">
              <w:rPr>
                <w:rFonts w:ascii="Calibri" w:eastAsia="Times New Roman" w:hAnsi="Calibri"/>
                <w:color w:val="000000"/>
                <w:sz w:val="24"/>
                <w:szCs w:val="24"/>
                <w:vertAlign w:val="superscript"/>
              </w:rPr>
              <w:t>a</w:t>
            </w:r>
          </w:p>
        </w:tc>
        <w:tc>
          <w:tcPr>
            <w:tcW w:w="2226" w:type="dxa"/>
            <w:gridSpan w:val="2"/>
            <w:tcBorders>
              <w:top w:val="single" w:sz="4" w:space="0" w:color="auto"/>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2.38±0.00</w:t>
            </w:r>
            <w:r w:rsidRPr="00296794">
              <w:rPr>
                <w:rFonts w:ascii="Calibri" w:eastAsia="Times New Roman" w:hAnsi="Calibri"/>
                <w:color w:val="000000"/>
                <w:sz w:val="24"/>
                <w:szCs w:val="24"/>
                <w:vertAlign w:val="superscript"/>
              </w:rPr>
              <w:t>a</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week1</w:t>
            </w:r>
          </w:p>
        </w:tc>
        <w:tc>
          <w:tcPr>
            <w:tcW w:w="1618"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4.45±0.12</w:t>
            </w:r>
            <w:r w:rsidRPr="00296794">
              <w:rPr>
                <w:rFonts w:ascii="Calibri" w:eastAsia="Times New Roman" w:hAnsi="Calibri"/>
                <w:color w:val="000000"/>
                <w:sz w:val="24"/>
                <w:szCs w:val="24"/>
                <w:vertAlign w:val="superscript"/>
              </w:rPr>
              <w:t>a</w:t>
            </w:r>
          </w:p>
        </w:tc>
        <w:tc>
          <w:tcPr>
            <w:tcW w:w="1618"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4.46±0.02</w:t>
            </w:r>
            <w:r w:rsidRPr="00296794">
              <w:rPr>
                <w:rFonts w:ascii="Calibri" w:eastAsia="Times New Roman" w:hAnsi="Calibri"/>
                <w:color w:val="000000"/>
                <w:sz w:val="24"/>
                <w:szCs w:val="24"/>
                <w:vertAlign w:val="superscript"/>
              </w:rPr>
              <w:t>a</w:t>
            </w:r>
          </w:p>
        </w:tc>
        <w:tc>
          <w:tcPr>
            <w:tcW w:w="1471"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3.79±0.38</w:t>
            </w:r>
            <w:r w:rsidRPr="00296794">
              <w:rPr>
                <w:rFonts w:ascii="Calibri" w:eastAsia="Times New Roman" w:hAnsi="Calibri"/>
                <w:color w:val="000000"/>
                <w:sz w:val="24"/>
                <w:szCs w:val="24"/>
                <w:vertAlign w:val="superscript"/>
              </w:rPr>
              <w:t>a</w:t>
            </w:r>
          </w:p>
        </w:tc>
        <w:tc>
          <w:tcPr>
            <w:tcW w:w="2226"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4.33±0.29</w:t>
            </w:r>
            <w:r w:rsidRPr="00296794">
              <w:rPr>
                <w:rFonts w:ascii="Calibri" w:eastAsia="Times New Roman" w:hAnsi="Calibri"/>
                <w:color w:val="000000"/>
                <w:sz w:val="24"/>
                <w:szCs w:val="24"/>
                <w:vertAlign w:val="superscript"/>
              </w:rPr>
              <w:t>a</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week2</w:t>
            </w:r>
          </w:p>
        </w:tc>
        <w:tc>
          <w:tcPr>
            <w:tcW w:w="1618"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3.32±0.50</w:t>
            </w:r>
            <w:r w:rsidRPr="00296794">
              <w:rPr>
                <w:rFonts w:ascii="Calibri" w:eastAsia="Times New Roman" w:hAnsi="Calibri"/>
                <w:color w:val="000000"/>
                <w:sz w:val="24"/>
                <w:szCs w:val="24"/>
                <w:vertAlign w:val="superscript"/>
              </w:rPr>
              <w:t>b</w:t>
            </w:r>
          </w:p>
        </w:tc>
        <w:tc>
          <w:tcPr>
            <w:tcW w:w="1618"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2.99±0.04</w:t>
            </w:r>
            <w:r w:rsidRPr="00296794">
              <w:rPr>
                <w:rFonts w:ascii="Calibri" w:eastAsia="Times New Roman" w:hAnsi="Calibri"/>
                <w:color w:val="000000"/>
                <w:sz w:val="24"/>
                <w:szCs w:val="24"/>
                <w:vertAlign w:val="superscript"/>
              </w:rPr>
              <w:t>ab</w:t>
            </w:r>
          </w:p>
        </w:tc>
        <w:tc>
          <w:tcPr>
            <w:tcW w:w="1471"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2.13±0.03</w:t>
            </w:r>
            <w:r w:rsidRPr="00296794">
              <w:rPr>
                <w:rFonts w:ascii="Calibri" w:eastAsia="Times New Roman" w:hAnsi="Calibri"/>
                <w:color w:val="000000"/>
                <w:sz w:val="24"/>
                <w:szCs w:val="24"/>
                <w:vertAlign w:val="superscript"/>
              </w:rPr>
              <w:t>a</w:t>
            </w:r>
          </w:p>
        </w:tc>
        <w:tc>
          <w:tcPr>
            <w:tcW w:w="2226"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2.46±0.04</w:t>
            </w:r>
            <w:r w:rsidRPr="00296794">
              <w:rPr>
                <w:rFonts w:ascii="Calibri" w:eastAsia="Times New Roman" w:hAnsi="Calibri"/>
                <w:color w:val="000000"/>
                <w:sz w:val="24"/>
                <w:szCs w:val="24"/>
                <w:vertAlign w:val="superscript"/>
              </w:rPr>
              <w:t>ab</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week3</w:t>
            </w:r>
          </w:p>
        </w:tc>
        <w:tc>
          <w:tcPr>
            <w:tcW w:w="1618"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5.83±0.59</w:t>
            </w:r>
            <w:r w:rsidRPr="00296794">
              <w:rPr>
                <w:rFonts w:ascii="Calibri" w:eastAsia="Times New Roman" w:hAnsi="Calibri"/>
                <w:color w:val="000000"/>
                <w:sz w:val="24"/>
                <w:szCs w:val="24"/>
                <w:vertAlign w:val="superscript"/>
              </w:rPr>
              <w:t>b</w:t>
            </w:r>
          </w:p>
        </w:tc>
        <w:tc>
          <w:tcPr>
            <w:tcW w:w="1618"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5.36±0.49</w:t>
            </w:r>
            <w:r w:rsidRPr="00296794">
              <w:rPr>
                <w:rFonts w:ascii="Calibri" w:eastAsia="Times New Roman" w:hAnsi="Calibri"/>
                <w:color w:val="000000"/>
                <w:sz w:val="24"/>
                <w:szCs w:val="24"/>
                <w:vertAlign w:val="superscript"/>
              </w:rPr>
              <w:t>b</w:t>
            </w:r>
          </w:p>
        </w:tc>
        <w:tc>
          <w:tcPr>
            <w:tcW w:w="1471"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2.24±0.07</w:t>
            </w:r>
            <w:r w:rsidRPr="00296794">
              <w:rPr>
                <w:rFonts w:ascii="Calibri" w:eastAsia="Times New Roman" w:hAnsi="Calibri"/>
                <w:color w:val="000000"/>
                <w:sz w:val="24"/>
                <w:szCs w:val="24"/>
                <w:vertAlign w:val="superscript"/>
              </w:rPr>
              <w:t>a</w:t>
            </w:r>
          </w:p>
        </w:tc>
        <w:tc>
          <w:tcPr>
            <w:tcW w:w="2226"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3.62±0.10</w:t>
            </w:r>
            <w:r w:rsidRPr="00296794">
              <w:rPr>
                <w:rFonts w:ascii="Calibri" w:eastAsia="Times New Roman" w:hAnsi="Calibri"/>
                <w:color w:val="000000"/>
                <w:sz w:val="24"/>
                <w:szCs w:val="24"/>
                <w:vertAlign w:val="superscript"/>
              </w:rPr>
              <w:t>a</w:t>
            </w:r>
          </w:p>
        </w:tc>
      </w:tr>
      <w:tr w:rsidR="00842C7A" w:rsidRPr="00296794" w:rsidTr="002E0F8D">
        <w:trPr>
          <w:trHeight w:val="314"/>
        </w:trPr>
        <w:tc>
          <w:tcPr>
            <w:tcW w:w="1272"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week4</w:t>
            </w:r>
          </w:p>
        </w:tc>
        <w:tc>
          <w:tcPr>
            <w:tcW w:w="1618"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2.73±0.04</w:t>
            </w:r>
            <w:r w:rsidRPr="00296794">
              <w:rPr>
                <w:rFonts w:ascii="Calibri" w:eastAsia="Times New Roman" w:hAnsi="Calibri"/>
                <w:color w:val="000000"/>
                <w:sz w:val="24"/>
                <w:szCs w:val="24"/>
                <w:vertAlign w:val="superscript"/>
              </w:rPr>
              <w:t>c</w:t>
            </w:r>
          </w:p>
        </w:tc>
        <w:tc>
          <w:tcPr>
            <w:tcW w:w="1618" w:type="dxa"/>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2.55±0.08</w:t>
            </w:r>
            <w:r w:rsidRPr="00296794">
              <w:rPr>
                <w:rFonts w:ascii="Calibri" w:eastAsia="Times New Roman" w:hAnsi="Calibri"/>
                <w:color w:val="000000"/>
                <w:sz w:val="24"/>
                <w:szCs w:val="24"/>
                <w:vertAlign w:val="superscript"/>
              </w:rPr>
              <w:t>c</w:t>
            </w:r>
          </w:p>
        </w:tc>
        <w:tc>
          <w:tcPr>
            <w:tcW w:w="1471"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0.81±0.18</w:t>
            </w:r>
            <w:r w:rsidRPr="00296794">
              <w:rPr>
                <w:rFonts w:ascii="Calibri" w:eastAsia="Times New Roman" w:hAnsi="Calibri"/>
                <w:color w:val="000000"/>
                <w:sz w:val="24"/>
                <w:szCs w:val="24"/>
                <w:vertAlign w:val="superscript"/>
              </w:rPr>
              <w:t>a</w:t>
            </w:r>
          </w:p>
        </w:tc>
        <w:tc>
          <w:tcPr>
            <w:tcW w:w="2226" w:type="dxa"/>
            <w:gridSpan w:val="2"/>
            <w:tcBorders>
              <w:top w:val="nil"/>
              <w:left w:val="nil"/>
              <w:bottom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1.64±0.02</w:t>
            </w:r>
            <w:r w:rsidRPr="00296794">
              <w:rPr>
                <w:rFonts w:ascii="Calibri" w:eastAsia="Times New Roman" w:hAnsi="Calibri"/>
                <w:color w:val="000000"/>
                <w:sz w:val="24"/>
                <w:szCs w:val="24"/>
                <w:vertAlign w:val="superscript"/>
              </w:rPr>
              <w:t>b</w:t>
            </w:r>
          </w:p>
        </w:tc>
      </w:tr>
      <w:tr w:rsidR="00842C7A" w:rsidRPr="00296794" w:rsidTr="002E0F8D">
        <w:trPr>
          <w:trHeight w:val="314"/>
        </w:trPr>
        <w:tc>
          <w:tcPr>
            <w:tcW w:w="1272"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week5</w:t>
            </w:r>
          </w:p>
        </w:tc>
        <w:tc>
          <w:tcPr>
            <w:tcW w:w="1618"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4.29±0.27</w:t>
            </w:r>
            <w:r w:rsidRPr="00296794">
              <w:rPr>
                <w:rFonts w:ascii="Calibri" w:eastAsia="Times New Roman" w:hAnsi="Calibri"/>
                <w:color w:val="000000"/>
                <w:sz w:val="24"/>
                <w:szCs w:val="24"/>
                <w:vertAlign w:val="superscript"/>
              </w:rPr>
              <w:t>b</w:t>
            </w:r>
          </w:p>
        </w:tc>
        <w:tc>
          <w:tcPr>
            <w:tcW w:w="1618"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5.37±0.12</w:t>
            </w:r>
            <w:r w:rsidRPr="00296794">
              <w:rPr>
                <w:rFonts w:ascii="Calibri" w:eastAsia="Times New Roman" w:hAnsi="Calibri"/>
                <w:color w:val="000000"/>
                <w:sz w:val="24"/>
                <w:szCs w:val="24"/>
                <w:vertAlign w:val="superscript"/>
              </w:rPr>
              <w:t>c</w:t>
            </w:r>
          </w:p>
        </w:tc>
        <w:tc>
          <w:tcPr>
            <w:tcW w:w="1471"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2.64±0.12</w:t>
            </w:r>
            <w:r w:rsidRPr="00296794">
              <w:rPr>
                <w:rFonts w:ascii="Calibri" w:eastAsia="Times New Roman" w:hAnsi="Calibri"/>
                <w:color w:val="000000"/>
                <w:sz w:val="24"/>
                <w:szCs w:val="24"/>
                <w:vertAlign w:val="superscript"/>
              </w:rPr>
              <w:t>a</w:t>
            </w:r>
          </w:p>
        </w:tc>
        <w:tc>
          <w:tcPr>
            <w:tcW w:w="2226"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3.13±0.08</w:t>
            </w:r>
            <w:r w:rsidRPr="00296794">
              <w:rPr>
                <w:rFonts w:ascii="Calibri" w:eastAsia="Times New Roman" w:hAnsi="Calibri"/>
                <w:color w:val="000000"/>
                <w:sz w:val="24"/>
                <w:szCs w:val="24"/>
                <w:vertAlign w:val="superscript"/>
              </w:rPr>
              <w:t>a</w:t>
            </w:r>
          </w:p>
        </w:tc>
      </w:tr>
      <w:tr w:rsidR="00842C7A" w:rsidRPr="00296794" w:rsidTr="002E0F8D">
        <w:trPr>
          <w:trHeight w:val="314"/>
        </w:trPr>
        <w:tc>
          <w:tcPr>
            <w:tcW w:w="1272"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rPr>
            </w:pPr>
            <w:r w:rsidRPr="00296794">
              <w:rPr>
                <w:rFonts w:ascii="Calibri" w:eastAsia="Times New Roman" w:hAnsi="Calibri"/>
                <w:color w:val="000000"/>
                <w:sz w:val="24"/>
                <w:szCs w:val="24"/>
              </w:rPr>
              <w:t>week6</w:t>
            </w:r>
          </w:p>
        </w:tc>
        <w:tc>
          <w:tcPr>
            <w:tcW w:w="1618"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5.22±0.09</w:t>
            </w:r>
            <w:r w:rsidRPr="00296794">
              <w:rPr>
                <w:rFonts w:ascii="Calibri" w:eastAsia="Times New Roman" w:hAnsi="Calibri"/>
                <w:color w:val="000000"/>
                <w:sz w:val="24"/>
                <w:szCs w:val="24"/>
                <w:vertAlign w:val="superscript"/>
              </w:rPr>
              <w:t>c</w:t>
            </w:r>
          </w:p>
        </w:tc>
        <w:tc>
          <w:tcPr>
            <w:tcW w:w="1618" w:type="dxa"/>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5.27±0.01</w:t>
            </w:r>
            <w:r w:rsidRPr="00296794">
              <w:rPr>
                <w:rFonts w:ascii="Calibri" w:eastAsia="Times New Roman" w:hAnsi="Calibri"/>
                <w:color w:val="000000"/>
                <w:sz w:val="24"/>
                <w:szCs w:val="24"/>
                <w:vertAlign w:val="superscript"/>
              </w:rPr>
              <w:t>c</w:t>
            </w:r>
          </w:p>
        </w:tc>
        <w:tc>
          <w:tcPr>
            <w:tcW w:w="1471"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3.82±0.00</w:t>
            </w:r>
            <w:r w:rsidRPr="00296794">
              <w:rPr>
                <w:rFonts w:ascii="Calibri" w:eastAsia="Times New Roman" w:hAnsi="Calibri"/>
                <w:color w:val="000000"/>
                <w:sz w:val="24"/>
                <w:szCs w:val="24"/>
                <w:vertAlign w:val="superscript"/>
              </w:rPr>
              <w:t>a</w:t>
            </w:r>
          </w:p>
        </w:tc>
        <w:tc>
          <w:tcPr>
            <w:tcW w:w="2226" w:type="dxa"/>
            <w:gridSpan w:val="2"/>
            <w:tcBorders>
              <w:top w:val="nil"/>
              <w:left w:val="nil"/>
              <w:right w:val="nil"/>
            </w:tcBorders>
            <w:shd w:val="clear" w:color="auto" w:fill="auto"/>
            <w:noWrap/>
            <w:vAlign w:val="bottom"/>
            <w:hideMark/>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4.34±0.08</w:t>
            </w:r>
            <w:r w:rsidRPr="00296794">
              <w:rPr>
                <w:rFonts w:ascii="Calibri" w:eastAsia="Times New Roman" w:hAnsi="Calibri"/>
                <w:color w:val="000000"/>
                <w:sz w:val="24"/>
                <w:szCs w:val="24"/>
                <w:vertAlign w:val="superscript"/>
              </w:rPr>
              <w:t>b</w:t>
            </w:r>
          </w:p>
        </w:tc>
      </w:tr>
      <w:tr w:rsidR="00842C7A" w:rsidRPr="00296794" w:rsidTr="002E0F8D">
        <w:trPr>
          <w:trHeight w:val="314"/>
        </w:trPr>
        <w:tc>
          <w:tcPr>
            <w:tcW w:w="1272" w:type="dxa"/>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TC gain</w:t>
            </w:r>
            <w:r w:rsidRPr="00296794">
              <w:rPr>
                <w:rFonts w:ascii="Calibri" w:eastAsia="Times New Roman" w:hAnsi="Calibri"/>
                <w:color w:val="000000"/>
                <w:sz w:val="24"/>
                <w:szCs w:val="24"/>
                <w:vertAlign w:val="superscript"/>
              </w:rPr>
              <w:t>1</w:t>
            </w:r>
          </w:p>
        </w:tc>
        <w:tc>
          <w:tcPr>
            <w:tcW w:w="1618" w:type="dxa"/>
            <w:gridSpan w:val="2"/>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1.47</w:t>
            </w:r>
            <w:r w:rsidRPr="00296794">
              <w:rPr>
                <w:rFonts w:ascii="Calibri" w:eastAsia="Times New Roman" w:hAnsi="Calibri"/>
                <w:color w:val="000000"/>
                <w:sz w:val="24"/>
                <w:szCs w:val="24"/>
                <w:vertAlign w:val="superscript"/>
              </w:rPr>
              <w:t>a</w:t>
            </w:r>
          </w:p>
        </w:tc>
        <w:tc>
          <w:tcPr>
            <w:tcW w:w="1618" w:type="dxa"/>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1.79</w:t>
            </w:r>
            <w:r w:rsidRPr="00296794">
              <w:rPr>
                <w:rFonts w:ascii="Calibri" w:eastAsia="Times New Roman" w:hAnsi="Calibri"/>
                <w:color w:val="000000"/>
                <w:sz w:val="24"/>
                <w:szCs w:val="24"/>
                <w:vertAlign w:val="superscript"/>
              </w:rPr>
              <w:t>b</w:t>
            </w:r>
          </w:p>
        </w:tc>
        <w:tc>
          <w:tcPr>
            <w:tcW w:w="1471" w:type="dxa"/>
            <w:gridSpan w:val="2"/>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1.19</w:t>
            </w:r>
            <w:r w:rsidRPr="00296794">
              <w:rPr>
                <w:rFonts w:ascii="Calibri" w:eastAsia="Times New Roman" w:hAnsi="Calibri"/>
                <w:color w:val="000000"/>
                <w:sz w:val="24"/>
                <w:szCs w:val="24"/>
                <w:vertAlign w:val="superscript"/>
              </w:rPr>
              <w:t>a</w:t>
            </w:r>
          </w:p>
        </w:tc>
        <w:tc>
          <w:tcPr>
            <w:tcW w:w="2226" w:type="dxa"/>
            <w:gridSpan w:val="2"/>
            <w:tcBorders>
              <w:left w:val="nil"/>
              <w:bottom w:val="single" w:sz="4" w:space="0" w:color="auto"/>
              <w:right w:val="nil"/>
            </w:tcBorders>
            <w:shd w:val="clear" w:color="auto" w:fill="auto"/>
            <w:noWrap/>
            <w:vAlign w:val="bottom"/>
          </w:tcPr>
          <w:p w:rsidR="00842C7A" w:rsidRPr="00296794" w:rsidRDefault="00842C7A" w:rsidP="00C11A1C">
            <w:pPr>
              <w:spacing w:after="0" w:line="360" w:lineRule="auto"/>
              <w:jc w:val="center"/>
              <w:rPr>
                <w:rFonts w:ascii="Calibri" w:eastAsia="Times New Roman" w:hAnsi="Calibri"/>
                <w:color w:val="000000"/>
                <w:sz w:val="24"/>
                <w:szCs w:val="24"/>
                <w:vertAlign w:val="superscript"/>
              </w:rPr>
            </w:pPr>
            <w:r w:rsidRPr="00296794">
              <w:rPr>
                <w:rFonts w:ascii="Calibri" w:eastAsia="Times New Roman" w:hAnsi="Calibri"/>
                <w:color w:val="000000"/>
                <w:sz w:val="24"/>
                <w:szCs w:val="24"/>
              </w:rPr>
              <w:t>1.96</w:t>
            </w:r>
            <w:r w:rsidRPr="00296794">
              <w:rPr>
                <w:rFonts w:ascii="Calibri" w:eastAsia="Times New Roman" w:hAnsi="Calibri"/>
                <w:color w:val="000000"/>
                <w:sz w:val="24"/>
                <w:szCs w:val="24"/>
                <w:vertAlign w:val="superscript"/>
              </w:rPr>
              <w:t>b</w:t>
            </w:r>
          </w:p>
        </w:tc>
      </w:tr>
      <w:tr w:rsidR="00842C7A" w:rsidRPr="00296794" w:rsidTr="002E0F8D">
        <w:trPr>
          <w:trHeight w:val="800"/>
        </w:trPr>
        <w:tc>
          <w:tcPr>
            <w:tcW w:w="8205" w:type="dxa"/>
            <w:gridSpan w:val="8"/>
            <w:tcBorders>
              <w:top w:val="single" w:sz="4" w:space="0" w:color="auto"/>
              <w:left w:val="nil"/>
              <w:bottom w:val="single" w:sz="4" w:space="0" w:color="auto"/>
              <w:right w:val="nil"/>
            </w:tcBorders>
            <w:shd w:val="clear" w:color="auto" w:fill="auto"/>
            <w:noWrap/>
            <w:vAlign w:val="bottom"/>
          </w:tcPr>
          <w:p w:rsidR="00842C7A" w:rsidRPr="00296794" w:rsidRDefault="00842C7A" w:rsidP="00C11A1C">
            <w:pPr>
              <w:spacing w:after="0" w:line="360" w:lineRule="auto"/>
              <w:rPr>
                <w:rFonts w:eastAsia="Times New Roman"/>
                <w:color w:val="000000"/>
                <w:sz w:val="24"/>
                <w:szCs w:val="24"/>
                <w:lang w:val="en-CA"/>
              </w:rPr>
            </w:pPr>
            <w:r w:rsidRPr="00296794">
              <w:rPr>
                <w:rFonts w:eastAsia="Times New Roman"/>
                <w:color w:val="000000"/>
                <w:sz w:val="24"/>
                <w:szCs w:val="24"/>
                <w:lang w:val="en-CA"/>
              </w:rPr>
              <w:t>Data showed as mean</w:t>
            </w:r>
            <w:r w:rsidRPr="00296794">
              <w:rPr>
                <w:rFonts w:eastAsia="Times New Roman"/>
                <w:color w:val="000000"/>
                <w:sz w:val="24"/>
                <w:szCs w:val="24"/>
              </w:rPr>
              <w:sym w:font="Symbol" w:char="F0B1"/>
            </w:r>
            <w:r w:rsidRPr="00296794">
              <w:rPr>
                <w:rFonts w:eastAsia="Times New Roman"/>
                <w:color w:val="000000"/>
                <w:sz w:val="24"/>
                <w:szCs w:val="24"/>
              </w:rPr>
              <w:t>SD</w:t>
            </w:r>
            <w:r w:rsidRPr="00296794">
              <w:rPr>
                <w:rFonts w:eastAsia="Times New Roman"/>
                <w:color w:val="000000"/>
                <w:sz w:val="24"/>
                <w:szCs w:val="24"/>
                <w:lang w:val="en-CA"/>
              </w:rPr>
              <w:t>. Mean values within a row having different superscript letters (</w:t>
            </w:r>
            <w:proofErr w:type="spellStart"/>
            <w:r w:rsidRPr="00296794">
              <w:rPr>
                <w:rFonts w:eastAsia="Times New Roman"/>
                <w:color w:val="000000"/>
                <w:sz w:val="24"/>
                <w:szCs w:val="24"/>
                <w:lang w:val="en-CA"/>
              </w:rPr>
              <w:t>a</w:t>
            </w:r>
            <w:proofErr w:type="gramStart"/>
            <w:r w:rsidRPr="00296794">
              <w:rPr>
                <w:rFonts w:eastAsia="Times New Roman"/>
                <w:color w:val="000000"/>
                <w:sz w:val="24"/>
                <w:szCs w:val="24"/>
                <w:lang w:val="en-CA"/>
              </w:rPr>
              <w:t>,b,c</w:t>
            </w:r>
            <w:proofErr w:type="spellEnd"/>
            <w:proofErr w:type="gramEnd"/>
            <w:r w:rsidRPr="00296794">
              <w:rPr>
                <w:rFonts w:eastAsia="Times New Roman"/>
                <w:color w:val="000000"/>
                <w:sz w:val="24"/>
                <w:szCs w:val="24"/>
                <w:lang w:val="en-CA"/>
              </w:rPr>
              <w:t>) were significantly different (p &lt; 0.05).</w:t>
            </w:r>
          </w:p>
          <w:p w:rsidR="00842C7A" w:rsidRPr="00296794" w:rsidRDefault="00842C7A" w:rsidP="00C11A1C">
            <w:pPr>
              <w:spacing w:after="0" w:line="360" w:lineRule="auto"/>
              <w:rPr>
                <w:rFonts w:ascii="Calibri" w:eastAsia="Times New Roman" w:hAnsi="Calibri"/>
                <w:color w:val="000000"/>
                <w:sz w:val="24"/>
                <w:szCs w:val="24"/>
              </w:rPr>
            </w:pPr>
            <w:r w:rsidRPr="00296794">
              <w:rPr>
                <w:rFonts w:eastAsia="Times New Roman"/>
                <w:color w:val="000000"/>
                <w:sz w:val="24"/>
                <w:szCs w:val="24"/>
                <w:vertAlign w:val="superscript"/>
                <w:lang w:val="en-CA"/>
              </w:rPr>
              <w:t>1</w:t>
            </w:r>
            <w:r w:rsidRPr="00296794">
              <w:rPr>
                <w:rFonts w:eastAsia="Times New Roman"/>
                <w:color w:val="000000"/>
                <w:sz w:val="24"/>
                <w:szCs w:val="24"/>
                <w:lang w:val="en-CA"/>
              </w:rPr>
              <w:t>The TC gain = week 6 minus baseline</w:t>
            </w:r>
          </w:p>
        </w:tc>
      </w:tr>
    </w:tbl>
    <w:p w:rsidR="00D52F02" w:rsidRDefault="00D52F02" w:rsidP="00325CA8">
      <w:pPr>
        <w:rPr>
          <w:rFonts w:ascii="Times New Roman" w:hAnsi="Times New Roman" w:cs="Times New Roman"/>
          <w:b/>
          <w:sz w:val="24"/>
          <w:szCs w:val="24"/>
        </w:rPr>
      </w:pPr>
    </w:p>
    <w:p w:rsidR="00D11597" w:rsidRDefault="0035205C" w:rsidP="00E1473B">
      <w:pPr>
        <w:jc w:val="both"/>
        <w:rPr>
          <w:rFonts w:ascii="Times New Roman" w:hAnsi="Times New Roman" w:cs="Times New Roman"/>
          <w:sz w:val="24"/>
          <w:szCs w:val="24"/>
          <w:lang w:val="en-CA"/>
        </w:rPr>
      </w:pPr>
      <w:r>
        <w:rPr>
          <w:rFonts w:ascii="Times New Roman" w:hAnsi="Times New Roman" w:cs="Times New Roman"/>
          <w:b/>
          <w:sz w:val="24"/>
          <w:szCs w:val="24"/>
        </w:rPr>
        <w:t>Conclusions:</w:t>
      </w:r>
      <w:r w:rsidRPr="0035205C">
        <w:rPr>
          <w:sz w:val="24"/>
          <w:szCs w:val="24"/>
          <w:lang w:val="en-CA"/>
        </w:rPr>
        <w:t xml:space="preserve"> </w:t>
      </w:r>
      <w:r w:rsidRPr="0035205C">
        <w:rPr>
          <w:rFonts w:ascii="Times New Roman" w:hAnsi="Times New Roman" w:cs="Times New Roman"/>
          <w:sz w:val="24"/>
          <w:szCs w:val="24"/>
          <w:lang w:val="en-CA"/>
        </w:rPr>
        <w:t xml:space="preserve">With the increasing prevalence of hypercholesterolemia, it becomes a major health concern in the world, because it is the major risk factor of many diseases, such as </w:t>
      </w:r>
      <w:r w:rsidRPr="0035205C">
        <w:rPr>
          <w:rFonts w:ascii="Times New Roman" w:hAnsi="Times New Roman" w:cs="Times New Roman"/>
          <w:sz w:val="24"/>
          <w:szCs w:val="24"/>
        </w:rPr>
        <w:t>coronary artery disease, hypertension and pancreatitis</w:t>
      </w:r>
      <w:r w:rsidRPr="0035205C">
        <w:rPr>
          <w:rFonts w:ascii="Times New Roman" w:hAnsi="Times New Roman" w:cs="Times New Roman"/>
          <w:sz w:val="24"/>
          <w:szCs w:val="24"/>
          <w:lang w:val="en-CA"/>
        </w:rPr>
        <w:t>. Especially, high blood cholesterol level is a well-known promoter of the progression of cardiovascular diseases, which is the top cause of death in the world. Since currently available cholesterol cholesterol-reducing agents have many side effects, a safe and effective substitute is highly needed. Plant proteins have been approved to be able to reduce blood cholesterol according to existing studies. Pulses were used in this research because they have high protein content (more than 20%), and high availability (Canada is a major pulse producer in the world).</w:t>
      </w:r>
      <w:r>
        <w:rPr>
          <w:rFonts w:ascii="Times New Roman" w:hAnsi="Times New Roman" w:cs="Times New Roman"/>
          <w:sz w:val="24"/>
          <w:szCs w:val="24"/>
          <w:lang w:val="en-CA"/>
        </w:rPr>
        <w:t xml:space="preserve"> </w:t>
      </w:r>
      <w:r w:rsidRPr="0035205C">
        <w:rPr>
          <w:rFonts w:ascii="Times New Roman" w:hAnsi="Times New Roman" w:cs="Times New Roman"/>
          <w:sz w:val="24"/>
          <w:szCs w:val="24"/>
          <w:lang w:val="en-CA"/>
        </w:rPr>
        <w:t>Indigestible protein, a fraction that is resistant to proteases in gastrointestinal tract, has a highly hydrophobic character that enables bile acid binding and elimination through the fecal route. Food processing treatments can change the structural and physiochemical properties of protein, which are likely to affect the bile acid-binding ability. In the present study, indigestible proteins were isolated from pulse protein (</w:t>
      </w:r>
      <w:r w:rsidRPr="0035205C">
        <w:rPr>
          <w:rFonts w:ascii="Times New Roman" w:hAnsi="Times New Roman" w:cs="Times New Roman"/>
          <w:sz w:val="24"/>
          <w:szCs w:val="24"/>
        </w:rPr>
        <w:t>soybean, pinto bean, lima bean, black bean, red kidney beans, mung bean, moong dal washed, green split bean, black-eye bean, small white bean, green lentil, chick peas)</w:t>
      </w:r>
      <w:r w:rsidRPr="0035205C">
        <w:rPr>
          <w:rFonts w:ascii="Times New Roman" w:hAnsi="Times New Roman" w:cs="Times New Roman"/>
          <w:sz w:val="24"/>
          <w:szCs w:val="24"/>
          <w:lang w:val="en-CA"/>
        </w:rPr>
        <w:t xml:space="preserve"> after autoclave, dry heat, gelation, freeze-thaw or wet heat treatment. Food processing treatments significantly affected yield and protein content of the treate</w:t>
      </w:r>
      <w:r w:rsidR="00D11597">
        <w:rPr>
          <w:rFonts w:ascii="Times New Roman" w:hAnsi="Times New Roman" w:cs="Times New Roman"/>
          <w:sz w:val="24"/>
          <w:szCs w:val="24"/>
          <w:lang w:val="en-CA"/>
        </w:rPr>
        <w:t>d</w:t>
      </w:r>
      <w:r w:rsidRPr="0035205C">
        <w:rPr>
          <w:rFonts w:ascii="Times New Roman" w:hAnsi="Times New Roman" w:cs="Times New Roman"/>
          <w:sz w:val="24"/>
          <w:szCs w:val="24"/>
          <w:lang w:val="en-CA"/>
        </w:rPr>
        <w:t xml:space="preserve"> products. Autoclave, gelation and wet heat contributed to higher yields of indigestible proteins due to protein aggregation, which made the peptide bonds less accessible to enzymes, thus lowering the digestibility. On the other hand, products from dry heat or freeze-thaw treatment had higher soluble protein content, which indicates formation of less proteins aggregates. Surface hydrophobicity values were also changed after the pre-treatments. </w:t>
      </w:r>
      <w:r w:rsidRPr="0035205C">
        <w:rPr>
          <w:rFonts w:ascii="Times New Roman" w:hAnsi="Times New Roman" w:cs="Times New Roman"/>
          <w:sz w:val="24"/>
          <w:szCs w:val="24"/>
          <w:lang w:val="en-CA"/>
        </w:rPr>
        <w:lastRenderedPageBreak/>
        <w:t xml:space="preserve">Denaturation of protein increases exposure of hydrophobic groups, which was observed after dry heat or freeze-thaw treatment. However, protein aggregation through hydrophobic interaction hides the hydrophobic ends, resulting in lower surface hydrophobicity. </w:t>
      </w:r>
    </w:p>
    <w:p w:rsidR="0035205C" w:rsidRPr="0035205C" w:rsidRDefault="0035205C" w:rsidP="00E1473B">
      <w:pPr>
        <w:ind w:firstLine="418"/>
        <w:jc w:val="both"/>
        <w:rPr>
          <w:rFonts w:ascii="Times New Roman" w:hAnsi="Times New Roman" w:cs="Times New Roman"/>
          <w:sz w:val="24"/>
          <w:szCs w:val="24"/>
          <w:lang w:val="en-CA"/>
        </w:rPr>
      </w:pPr>
      <w:r w:rsidRPr="0035205C">
        <w:rPr>
          <w:rFonts w:ascii="Times New Roman" w:hAnsi="Times New Roman" w:cs="Times New Roman"/>
          <w:sz w:val="24"/>
          <w:szCs w:val="24"/>
          <w:lang w:val="en-CA"/>
        </w:rPr>
        <w:t>Bile acid-binding activities of samples were not affected by pulse variety but the treatments led to variations in binding ability. There was no correlation between surface hydrophobicity and bile acid-binding ability of indigestible proteins even though previous works suggested that they were highly associated, indicating that treatments affected other structural properties of the proteins.</w:t>
      </w:r>
      <w:r w:rsidR="00D11597">
        <w:rPr>
          <w:rFonts w:ascii="Times New Roman" w:hAnsi="Times New Roman" w:cs="Times New Roman"/>
          <w:sz w:val="24"/>
          <w:szCs w:val="24"/>
          <w:lang w:val="en-CA"/>
        </w:rPr>
        <w:t xml:space="preserve"> </w:t>
      </w:r>
      <w:r w:rsidRPr="0035205C">
        <w:rPr>
          <w:rFonts w:ascii="Times New Roman" w:hAnsi="Times New Roman" w:cs="Times New Roman"/>
          <w:sz w:val="24"/>
          <w:szCs w:val="24"/>
          <w:lang w:val="en-CA"/>
        </w:rPr>
        <w:t xml:space="preserve">Black-eye bean protein was chosen as the sample for rat feeding experiments due to the high yield of indigestible protein. High-cholesterol diet induced weight gain in all rat groups. Noticeably, native and indigestible protein did not change the food intake and weight gain, but the difference between genders was significant. Moreover, for the female groups, increases in plasma </w:t>
      </w:r>
      <w:r w:rsidR="00D11597">
        <w:rPr>
          <w:rFonts w:ascii="Times New Roman" w:hAnsi="Times New Roman" w:cs="Times New Roman"/>
          <w:sz w:val="24"/>
          <w:szCs w:val="24"/>
          <w:lang w:val="en-CA"/>
        </w:rPr>
        <w:t>total cholesterol</w:t>
      </w:r>
      <w:r w:rsidRPr="0035205C">
        <w:rPr>
          <w:rFonts w:ascii="Times New Roman" w:hAnsi="Times New Roman" w:cs="Times New Roman"/>
          <w:sz w:val="24"/>
          <w:szCs w:val="24"/>
          <w:lang w:val="en-CA"/>
        </w:rPr>
        <w:t xml:space="preserve"> contents were reduced by adding 5% of indigestible protein when compared to the casein-only diet. In contrast, plasma </w:t>
      </w:r>
      <w:r w:rsidR="00D11597">
        <w:rPr>
          <w:rFonts w:ascii="Times New Roman" w:hAnsi="Times New Roman" w:cs="Times New Roman"/>
          <w:sz w:val="24"/>
          <w:szCs w:val="24"/>
          <w:lang w:val="en-CA"/>
        </w:rPr>
        <w:t>total cholesterol</w:t>
      </w:r>
      <w:r w:rsidRPr="0035205C">
        <w:rPr>
          <w:rFonts w:ascii="Times New Roman" w:hAnsi="Times New Roman" w:cs="Times New Roman"/>
          <w:sz w:val="24"/>
          <w:szCs w:val="24"/>
          <w:lang w:val="en-CA"/>
        </w:rPr>
        <w:t xml:space="preserve"> w</w:t>
      </w:r>
      <w:r w:rsidR="00D11597">
        <w:rPr>
          <w:rFonts w:ascii="Times New Roman" w:hAnsi="Times New Roman" w:cs="Times New Roman"/>
          <w:sz w:val="24"/>
          <w:szCs w:val="24"/>
          <w:lang w:val="en-CA"/>
        </w:rPr>
        <w:t>as not reduced</w:t>
      </w:r>
      <w:r w:rsidRPr="0035205C">
        <w:rPr>
          <w:rFonts w:ascii="Times New Roman" w:hAnsi="Times New Roman" w:cs="Times New Roman"/>
          <w:sz w:val="24"/>
          <w:szCs w:val="24"/>
          <w:lang w:val="en-CA"/>
        </w:rPr>
        <w:t xml:space="preserve"> by the 1% indigestible protein and 5% of native protein diets. </w:t>
      </w:r>
      <w:r w:rsidR="008873E3">
        <w:rPr>
          <w:rFonts w:ascii="Times New Roman" w:hAnsi="Times New Roman" w:cs="Times New Roman"/>
          <w:sz w:val="24"/>
          <w:szCs w:val="24"/>
          <w:lang w:val="en-CA"/>
        </w:rPr>
        <w:t xml:space="preserve">Therefore, the cholesterol-reducing ability of the indigestible proteins was dependent on dose. </w:t>
      </w:r>
      <w:r w:rsidRPr="0035205C">
        <w:rPr>
          <w:rFonts w:ascii="Times New Roman" w:hAnsi="Times New Roman" w:cs="Times New Roman"/>
          <w:sz w:val="24"/>
          <w:szCs w:val="24"/>
          <w:lang w:val="en-CA"/>
        </w:rPr>
        <w:t xml:space="preserve">However, in male rats, </w:t>
      </w:r>
      <w:r w:rsidR="00D11597">
        <w:rPr>
          <w:rFonts w:ascii="Times New Roman" w:hAnsi="Times New Roman" w:cs="Times New Roman"/>
          <w:sz w:val="24"/>
          <w:szCs w:val="24"/>
          <w:lang w:val="en-CA"/>
        </w:rPr>
        <w:t xml:space="preserve">the </w:t>
      </w:r>
      <w:r w:rsidRPr="0035205C">
        <w:rPr>
          <w:rFonts w:ascii="Times New Roman" w:hAnsi="Times New Roman" w:cs="Times New Roman"/>
          <w:sz w:val="24"/>
          <w:szCs w:val="24"/>
          <w:lang w:val="en-CA"/>
        </w:rPr>
        <w:t xml:space="preserve">5% indigestible protein </w:t>
      </w:r>
      <w:r w:rsidR="00D11597">
        <w:rPr>
          <w:rFonts w:ascii="Times New Roman" w:hAnsi="Times New Roman" w:cs="Times New Roman"/>
          <w:sz w:val="24"/>
          <w:szCs w:val="24"/>
          <w:lang w:val="en-CA"/>
        </w:rPr>
        <w:t xml:space="preserve">diet </w:t>
      </w:r>
      <w:r w:rsidRPr="0035205C">
        <w:rPr>
          <w:rFonts w:ascii="Times New Roman" w:hAnsi="Times New Roman" w:cs="Times New Roman"/>
          <w:sz w:val="24"/>
          <w:szCs w:val="24"/>
          <w:lang w:val="en-CA"/>
        </w:rPr>
        <w:t xml:space="preserve">did not significantly decrease plasma </w:t>
      </w:r>
      <w:r w:rsidR="00D11597">
        <w:rPr>
          <w:rFonts w:ascii="Times New Roman" w:hAnsi="Times New Roman" w:cs="Times New Roman"/>
          <w:sz w:val="24"/>
          <w:szCs w:val="24"/>
          <w:lang w:val="en-CA"/>
        </w:rPr>
        <w:t>cholesterol</w:t>
      </w:r>
      <w:r w:rsidRPr="0035205C">
        <w:rPr>
          <w:rFonts w:ascii="Times New Roman" w:hAnsi="Times New Roman" w:cs="Times New Roman"/>
          <w:sz w:val="24"/>
          <w:szCs w:val="24"/>
          <w:lang w:val="en-CA"/>
        </w:rPr>
        <w:t>. Additionally, male rats gained less cholesterol than female counterparts. The indigestible proteins should be used instead of native for the following reasons. Firstly, the indigestible protein is produced under the certain condition</w:t>
      </w:r>
      <w:r w:rsidR="00D11597">
        <w:rPr>
          <w:rFonts w:ascii="Times New Roman" w:hAnsi="Times New Roman" w:cs="Times New Roman"/>
          <w:sz w:val="24"/>
          <w:szCs w:val="24"/>
          <w:lang w:val="en-CA"/>
        </w:rPr>
        <w:t>s</w:t>
      </w:r>
      <w:r w:rsidRPr="0035205C">
        <w:rPr>
          <w:rFonts w:ascii="Times New Roman" w:hAnsi="Times New Roman" w:cs="Times New Roman"/>
          <w:sz w:val="24"/>
          <w:szCs w:val="24"/>
          <w:lang w:val="en-CA"/>
        </w:rPr>
        <w:t xml:space="preserve"> where temperature, pH and the usage of protease were well controlled to make sure the active compounds are created. Secondly, indigestible proteins are resistant to </w:t>
      </w:r>
      <w:r w:rsidR="00D11597">
        <w:rPr>
          <w:rFonts w:ascii="Times New Roman" w:hAnsi="Times New Roman" w:cs="Times New Roman"/>
          <w:sz w:val="24"/>
          <w:szCs w:val="24"/>
          <w:lang w:val="en-CA"/>
        </w:rPr>
        <w:t>digestive enzymes</w:t>
      </w:r>
      <w:r w:rsidRPr="0035205C">
        <w:rPr>
          <w:rFonts w:ascii="Times New Roman" w:hAnsi="Times New Roman" w:cs="Times New Roman"/>
          <w:sz w:val="24"/>
          <w:szCs w:val="24"/>
          <w:lang w:val="en-CA"/>
        </w:rPr>
        <w:t>, which guarantee the</w:t>
      </w:r>
      <w:r w:rsidR="00D11597">
        <w:rPr>
          <w:rFonts w:ascii="Times New Roman" w:hAnsi="Times New Roman" w:cs="Times New Roman"/>
          <w:sz w:val="24"/>
          <w:szCs w:val="24"/>
          <w:lang w:val="en-CA"/>
        </w:rPr>
        <w:t>ir</w:t>
      </w:r>
      <w:r w:rsidRPr="0035205C">
        <w:rPr>
          <w:rFonts w:ascii="Times New Roman" w:hAnsi="Times New Roman" w:cs="Times New Roman"/>
          <w:sz w:val="24"/>
          <w:szCs w:val="24"/>
          <w:lang w:val="en-CA"/>
        </w:rPr>
        <w:t xml:space="preserve"> stab</w:t>
      </w:r>
      <w:r w:rsidR="00D11597">
        <w:rPr>
          <w:rFonts w:ascii="Times New Roman" w:hAnsi="Times New Roman" w:cs="Times New Roman"/>
          <w:sz w:val="24"/>
          <w:szCs w:val="24"/>
          <w:lang w:val="en-CA"/>
        </w:rPr>
        <w:t>i</w:t>
      </w:r>
      <w:r w:rsidRPr="0035205C">
        <w:rPr>
          <w:rFonts w:ascii="Times New Roman" w:hAnsi="Times New Roman" w:cs="Times New Roman"/>
          <w:sz w:val="24"/>
          <w:szCs w:val="24"/>
          <w:lang w:val="en-CA"/>
        </w:rPr>
        <w:t>l</w:t>
      </w:r>
      <w:r w:rsidR="00D11597">
        <w:rPr>
          <w:rFonts w:ascii="Times New Roman" w:hAnsi="Times New Roman" w:cs="Times New Roman"/>
          <w:sz w:val="24"/>
          <w:szCs w:val="24"/>
          <w:lang w:val="en-CA"/>
        </w:rPr>
        <w:t>ity</w:t>
      </w:r>
      <w:r w:rsidRPr="0035205C">
        <w:rPr>
          <w:rFonts w:ascii="Times New Roman" w:hAnsi="Times New Roman" w:cs="Times New Roman"/>
          <w:sz w:val="24"/>
          <w:szCs w:val="24"/>
          <w:lang w:val="en-CA"/>
        </w:rPr>
        <w:t xml:space="preserve"> in the gastrointestinal tract.</w:t>
      </w:r>
    </w:p>
    <w:p w:rsidR="0035205C" w:rsidRPr="0035205C" w:rsidRDefault="0035205C" w:rsidP="00E1473B">
      <w:pPr>
        <w:ind w:firstLine="418"/>
        <w:jc w:val="both"/>
        <w:rPr>
          <w:rFonts w:ascii="Times New Roman" w:hAnsi="Times New Roman" w:cs="Times New Roman"/>
          <w:sz w:val="24"/>
          <w:szCs w:val="24"/>
          <w:lang w:val="en-CA"/>
        </w:rPr>
      </w:pPr>
      <w:r w:rsidRPr="0035205C">
        <w:rPr>
          <w:rFonts w:ascii="Times New Roman" w:hAnsi="Times New Roman" w:cs="Times New Roman"/>
          <w:sz w:val="24"/>
          <w:szCs w:val="24"/>
          <w:lang w:val="en-CA"/>
        </w:rPr>
        <w:t xml:space="preserve">In conclusion, indigestible proteins can bind bile acids </w:t>
      </w:r>
      <w:r w:rsidRPr="0035205C">
        <w:rPr>
          <w:rFonts w:ascii="Times New Roman" w:hAnsi="Times New Roman" w:cs="Times New Roman"/>
          <w:i/>
          <w:sz w:val="24"/>
          <w:szCs w:val="24"/>
          <w:lang w:val="en-CA"/>
        </w:rPr>
        <w:t>in vitro</w:t>
      </w:r>
      <w:r w:rsidRPr="0035205C">
        <w:rPr>
          <w:rFonts w:ascii="Times New Roman" w:hAnsi="Times New Roman" w:cs="Times New Roman"/>
          <w:sz w:val="24"/>
          <w:szCs w:val="24"/>
          <w:lang w:val="en-CA"/>
        </w:rPr>
        <w:t>,</w:t>
      </w:r>
      <w:r w:rsidRPr="0035205C">
        <w:rPr>
          <w:rFonts w:ascii="Times New Roman" w:hAnsi="Times New Roman" w:cs="Times New Roman"/>
          <w:i/>
          <w:sz w:val="24"/>
          <w:szCs w:val="24"/>
          <w:lang w:val="en-CA"/>
        </w:rPr>
        <w:t xml:space="preserve"> </w:t>
      </w:r>
      <w:r w:rsidRPr="0035205C">
        <w:rPr>
          <w:rFonts w:ascii="Times New Roman" w:hAnsi="Times New Roman" w:cs="Times New Roman"/>
          <w:sz w:val="24"/>
          <w:szCs w:val="24"/>
          <w:lang w:val="en-CA"/>
        </w:rPr>
        <w:t>although surface hydrophobicity and amino acid composition are not correlated to this ability. As for the rat study, indigestible proteins were better than the native protein and casein-only diet in reducing blood cholesterol. These findings reveal a potential role for cholesterol-lowering indigestible proteins in the therapeutic management of hypercholesterolemia.</w:t>
      </w:r>
      <w:r w:rsidR="008D4DE3">
        <w:rPr>
          <w:rFonts w:ascii="Times New Roman" w:hAnsi="Times New Roman" w:cs="Times New Roman"/>
          <w:sz w:val="24"/>
          <w:szCs w:val="24"/>
          <w:lang w:val="en-CA"/>
        </w:rPr>
        <w:t xml:space="preserve"> However, the results suggest better benefits to the female population than the males. Therefore, the specific role of gender in the response to indigestible proteins needs further elucidation.</w:t>
      </w:r>
      <w:r w:rsidR="009B14E3">
        <w:rPr>
          <w:rFonts w:ascii="Times New Roman" w:hAnsi="Times New Roman" w:cs="Times New Roman"/>
          <w:sz w:val="24"/>
          <w:szCs w:val="24"/>
          <w:lang w:val="en-CA"/>
        </w:rPr>
        <w:t xml:space="preserve"> Moreover, future studies should investigate higher doses of the indigestible proteins to determine the maximum level of cholesterol-reducing ability.</w:t>
      </w:r>
    </w:p>
    <w:p w:rsidR="0035205C" w:rsidRPr="00325CA8" w:rsidRDefault="0035205C" w:rsidP="0035205C">
      <w:pPr>
        <w:jc w:val="both"/>
        <w:rPr>
          <w:rFonts w:ascii="Times New Roman" w:hAnsi="Times New Roman" w:cs="Times New Roman"/>
          <w:b/>
          <w:sz w:val="24"/>
          <w:szCs w:val="24"/>
        </w:rPr>
      </w:pPr>
    </w:p>
    <w:sectPr w:rsidR="0035205C" w:rsidRPr="00325C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B9" w:rsidRDefault="005036B9" w:rsidP="005036B9">
      <w:pPr>
        <w:spacing w:after="0" w:line="240" w:lineRule="auto"/>
      </w:pPr>
      <w:r>
        <w:separator/>
      </w:r>
    </w:p>
  </w:endnote>
  <w:endnote w:type="continuationSeparator" w:id="0">
    <w:p w:rsidR="005036B9" w:rsidRDefault="005036B9" w:rsidP="0050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10947"/>
      <w:docPartObj>
        <w:docPartGallery w:val="Page Numbers (Bottom of Page)"/>
        <w:docPartUnique/>
      </w:docPartObj>
    </w:sdtPr>
    <w:sdtEndPr>
      <w:rPr>
        <w:noProof/>
      </w:rPr>
    </w:sdtEndPr>
    <w:sdtContent>
      <w:p w:rsidR="008C0FBF" w:rsidRDefault="008C0FBF">
        <w:pPr>
          <w:pStyle w:val="Footer"/>
          <w:jc w:val="center"/>
        </w:pPr>
        <w:r>
          <w:fldChar w:fldCharType="begin"/>
        </w:r>
        <w:r>
          <w:instrText xml:space="preserve"> PAGE   \* MERGEFORMAT </w:instrText>
        </w:r>
        <w:r>
          <w:fldChar w:fldCharType="separate"/>
        </w:r>
        <w:r w:rsidR="00E54F3B">
          <w:rPr>
            <w:noProof/>
          </w:rPr>
          <w:t>8</w:t>
        </w:r>
        <w:r>
          <w:rPr>
            <w:noProof/>
          </w:rPr>
          <w:fldChar w:fldCharType="end"/>
        </w:r>
      </w:p>
    </w:sdtContent>
  </w:sdt>
  <w:p w:rsidR="008C0FBF" w:rsidRDefault="008C0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B9" w:rsidRDefault="005036B9" w:rsidP="005036B9">
      <w:pPr>
        <w:spacing w:after="0" w:line="240" w:lineRule="auto"/>
      </w:pPr>
      <w:r>
        <w:separator/>
      </w:r>
    </w:p>
  </w:footnote>
  <w:footnote w:type="continuationSeparator" w:id="0">
    <w:p w:rsidR="005036B9" w:rsidRDefault="005036B9" w:rsidP="00503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6B9" w:rsidRPr="005036B9" w:rsidRDefault="00E54F3B">
    <w:pPr>
      <w:pStyle w:val="Header"/>
      <w:rPr>
        <w:rFonts w:ascii="Times New Roman" w:hAnsi="Times New Roman" w:cs="Times New Roman"/>
        <w:sz w:val="24"/>
        <w:szCs w:val="24"/>
      </w:rPr>
    </w:pPr>
    <w:r>
      <w:rPr>
        <w:rFonts w:ascii="Times New Roman" w:hAnsi="Times New Roman" w:cs="Times New Roman"/>
        <w:sz w:val="24"/>
        <w:szCs w:val="24"/>
      </w:rPr>
      <w:t>Pulse indigestible proteins and cholesterol reduction</w:t>
    </w:r>
    <w:r>
      <w:rPr>
        <w:rFonts w:ascii="Times New Roman" w:hAnsi="Times New Roman" w:cs="Times New Roman"/>
        <w:sz w:val="24"/>
        <w:szCs w:val="24"/>
      </w:rPr>
      <w:tab/>
    </w:r>
    <w:r w:rsidR="005036B9" w:rsidRPr="005036B9">
      <w:rPr>
        <w:rFonts w:ascii="Times New Roman" w:hAnsi="Times New Roman" w:cs="Times New Roman"/>
        <w:sz w:val="24"/>
        <w:szCs w:val="24"/>
      </w:rPr>
      <w:t>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4334"/>
    <w:multiLevelType w:val="multilevel"/>
    <w:tmpl w:val="6672786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AB58AB"/>
    <w:multiLevelType w:val="hybridMultilevel"/>
    <w:tmpl w:val="B456F0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221869"/>
    <w:multiLevelType w:val="hybridMultilevel"/>
    <w:tmpl w:val="A6BE68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B9"/>
    <w:rsid w:val="0000509F"/>
    <w:rsid w:val="00050750"/>
    <w:rsid w:val="00051E2B"/>
    <w:rsid w:val="00060D0A"/>
    <w:rsid w:val="000C7496"/>
    <w:rsid w:val="000F417A"/>
    <w:rsid w:val="00104346"/>
    <w:rsid w:val="00117B45"/>
    <w:rsid w:val="00154B13"/>
    <w:rsid w:val="002A29A4"/>
    <w:rsid w:val="002C7F4D"/>
    <w:rsid w:val="002E0723"/>
    <w:rsid w:val="002E0F8D"/>
    <w:rsid w:val="00302E60"/>
    <w:rsid w:val="00325CA8"/>
    <w:rsid w:val="0035205C"/>
    <w:rsid w:val="00367675"/>
    <w:rsid w:val="00394CB7"/>
    <w:rsid w:val="003B489D"/>
    <w:rsid w:val="00436972"/>
    <w:rsid w:val="0047634E"/>
    <w:rsid w:val="005036B9"/>
    <w:rsid w:val="00555EB2"/>
    <w:rsid w:val="005A3EA0"/>
    <w:rsid w:val="005F31F7"/>
    <w:rsid w:val="00604B6C"/>
    <w:rsid w:val="00656C25"/>
    <w:rsid w:val="00665855"/>
    <w:rsid w:val="006A29C6"/>
    <w:rsid w:val="006B09B9"/>
    <w:rsid w:val="0078032F"/>
    <w:rsid w:val="00842C7A"/>
    <w:rsid w:val="00850248"/>
    <w:rsid w:val="008873E3"/>
    <w:rsid w:val="008C0FBF"/>
    <w:rsid w:val="008D4DE3"/>
    <w:rsid w:val="008F6A36"/>
    <w:rsid w:val="0093137F"/>
    <w:rsid w:val="009963D1"/>
    <w:rsid w:val="009B14E3"/>
    <w:rsid w:val="00A22FEA"/>
    <w:rsid w:val="00A62C5D"/>
    <w:rsid w:val="00AB32E0"/>
    <w:rsid w:val="00AE1439"/>
    <w:rsid w:val="00C0484D"/>
    <w:rsid w:val="00C11A1C"/>
    <w:rsid w:val="00C1589F"/>
    <w:rsid w:val="00D11597"/>
    <w:rsid w:val="00D52F02"/>
    <w:rsid w:val="00D8682F"/>
    <w:rsid w:val="00DA4D8D"/>
    <w:rsid w:val="00E1473B"/>
    <w:rsid w:val="00E54F3B"/>
    <w:rsid w:val="00E6625A"/>
    <w:rsid w:val="00EC1983"/>
    <w:rsid w:val="00F3081C"/>
    <w:rsid w:val="00F42398"/>
    <w:rsid w:val="00F8029A"/>
    <w:rsid w:val="00F87818"/>
    <w:rsid w:val="00F97F0E"/>
    <w:rsid w:val="00FB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25CA8"/>
    <w:pPr>
      <w:keepNext/>
      <w:keepLines/>
      <w:widowControl w:val="0"/>
      <w:spacing w:before="40" w:after="0" w:line="240" w:lineRule="auto"/>
      <w:jc w:val="both"/>
      <w:outlineLvl w:val="2"/>
    </w:pPr>
    <w:rPr>
      <w:rFonts w:asciiTheme="majorHAnsi" w:eastAsiaTheme="majorEastAsia" w:hAnsiTheme="majorHAnsi" w:cstheme="majorBidi"/>
      <w:color w:val="243F60" w:themeColor="accent1" w:themeShade="7F"/>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B9"/>
  </w:style>
  <w:style w:type="paragraph" w:styleId="Footer">
    <w:name w:val="footer"/>
    <w:basedOn w:val="Normal"/>
    <w:link w:val="FooterChar"/>
    <w:uiPriority w:val="99"/>
    <w:unhideWhenUsed/>
    <w:rsid w:val="0050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B9"/>
  </w:style>
  <w:style w:type="character" w:customStyle="1" w:styleId="Heading3Char">
    <w:name w:val="Heading 3 Char"/>
    <w:basedOn w:val="DefaultParagraphFont"/>
    <w:link w:val="Heading3"/>
    <w:uiPriority w:val="9"/>
    <w:rsid w:val="00325CA8"/>
    <w:rPr>
      <w:rFonts w:asciiTheme="majorHAnsi" w:eastAsiaTheme="majorEastAsia" w:hAnsiTheme="majorHAnsi" w:cstheme="majorBidi"/>
      <w:color w:val="243F60" w:themeColor="accent1" w:themeShade="7F"/>
      <w:kern w:val="2"/>
      <w:sz w:val="24"/>
      <w:szCs w:val="24"/>
      <w:lang w:eastAsia="zh-CN"/>
    </w:rPr>
  </w:style>
  <w:style w:type="paragraph" w:styleId="ListParagraph">
    <w:name w:val="List Paragraph"/>
    <w:basedOn w:val="Normal"/>
    <w:uiPriority w:val="34"/>
    <w:qFormat/>
    <w:rsid w:val="00325CA8"/>
    <w:pPr>
      <w:widowControl w:val="0"/>
      <w:spacing w:after="0" w:line="240" w:lineRule="auto"/>
      <w:ind w:left="720"/>
      <w:contextualSpacing/>
      <w:jc w:val="both"/>
    </w:pPr>
    <w:rPr>
      <w:rFonts w:eastAsiaTheme="minorEastAsia"/>
      <w:kern w:val="2"/>
      <w:sz w:val="21"/>
      <w:lang w:eastAsia="zh-CN"/>
    </w:rPr>
  </w:style>
  <w:style w:type="paragraph" w:styleId="Caption">
    <w:name w:val="caption"/>
    <w:basedOn w:val="Normal"/>
    <w:next w:val="Normal"/>
    <w:uiPriority w:val="35"/>
    <w:unhideWhenUsed/>
    <w:qFormat/>
    <w:rsid w:val="0078032F"/>
    <w:pPr>
      <w:widowControl w:val="0"/>
      <w:spacing w:line="240" w:lineRule="auto"/>
      <w:jc w:val="both"/>
    </w:pPr>
    <w:rPr>
      <w:rFonts w:eastAsiaTheme="minorEastAsia"/>
      <w:i/>
      <w:iCs/>
      <w:color w:val="1F497D" w:themeColor="text2"/>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25CA8"/>
    <w:pPr>
      <w:keepNext/>
      <w:keepLines/>
      <w:widowControl w:val="0"/>
      <w:spacing w:before="40" w:after="0" w:line="240" w:lineRule="auto"/>
      <w:jc w:val="both"/>
      <w:outlineLvl w:val="2"/>
    </w:pPr>
    <w:rPr>
      <w:rFonts w:asciiTheme="majorHAnsi" w:eastAsiaTheme="majorEastAsia" w:hAnsiTheme="majorHAnsi" w:cstheme="majorBidi"/>
      <w:color w:val="243F60" w:themeColor="accent1" w:themeShade="7F"/>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B9"/>
  </w:style>
  <w:style w:type="paragraph" w:styleId="Footer">
    <w:name w:val="footer"/>
    <w:basedOn w:val="Normal"/>
    <w:link w:val="FooterChar"/>
    <w:uiPriority w:val="99"/>
    <w:unhideWhenUsed/>
    <w:rsid w:val="0050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B9"/>
  </w:style>
  <w:style w:type="character" w:customStyle="1" w:styleId="Heading3Char">
    <w:name w:val="Heading 3 Char"/>
    <w:basedOn w:val="DefaultParagraphFont"/>
    <w:link w:val="Heading3"/>
    <w:uiPriority w:val="9"/>
    <w:rsid w:val="00325CA8"/>
    <w:rPr>
      <w:rFonts w:asciiTheme="majorHAnsi" w:eastAsiaTheme="majorEastAsia" w:hAnsiTheme="majorHAnsi" w:cstheme="majorBidi"/>
      <w:color w:val="243F60" w:themeColor="accent1" w:themeShade="7F"/>
      <w:kern w:val="2"/>
      <w:sz w:val="24"/>
      <w:szCs w:val="24"/>
      <w:lang w:eastAsia="zh-CN"/>
    </w:rPr>
  </w:style>
  <w:style w:type="paragraph" w:styleId="ListParagraph">
    <w:name w:val="List Paragraph"/>
    <w:basedOn w:val="Normal"/>
    <w:uiPriority w:val="34"/>
    <w:qFormat/>
    <w:rsid w:val="00325CA8"/>
    <w:pPr>
      <w:widowControl w:val="0"/>
      <w:spacing w:after="0" w:line="240" w:lineRule="auto"/>
      <w:ind w:left="720"/>
      <w:contextualSpacing/>
      <w:jc w:val="both"/>
    </w:pPr>
    <w:rPr>
      <w:rFonts w:eastAsiaTheme="minorEastAsia"/>
      <w:kern w:val="2"/>
      <w:sz w:val="21"/>
      <w:lang w:eastAsia="zh-CN"/>
    </w:rPr>
  </w:style>
  <w:style w:type="paragraph" w:styleId="Caption">
    <w:name w:val="caption"/>
    <w:basedOn w:val="Normal"/>
    <w:next w:val="Normal"/>
    <w:uiPriority w:val="35"/>
    <w:unhideWhenUsed/>
    <w:qFormat/>
    <w:rsid w:val="0078032F"/>
    <w:pPr>
      <w:widowControl w:val="0"/>
      <w:spacing w:line="240" w:lineRule="auto"/>
      <w:jc w:val="both"/>
    </w:pPr>
    <w:rPr>
      <w:rFonts w:eastAsiaTheme="minorEastAsia"/>
      <w:i/>
      <w:iCs/>
      <w:color w:val="1F497D" w:themeColor="text2"/>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Rotimi Aluko</dc:creator>
  <cp:lastModifiedBy>Rotimi Aluko</cp:lastModifiedBy>
  <cp:revision>56</cp:revision>
  <dcterms:created xsi:type="dcterms:W3CDTF">2018-04-24T23:38:00Z</dcterms:created>
  <dcterms:modified xsi:type="dcterms:W3CDTF">2018-04-25T01:42:00Z</dcterms:modified>
</cp:coreProperties>
</file>